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2F" w:rsidRDefault="0008172F" w:rsidP="0008172F">
      <w:pPr>
        <w:pStyle w:val="Nzev"/>
        <w:pBdr>
          <w:bottom w:val="single" w:sz="4" w:space="4" w:color="auto"/>
        </w:pBdr>
        <w:jc w:val="center"/>
        <w:rPr>
          <w:sz w:val="28"/>
          <w:szCs w:val="28"/>
        </w:rPr>
      </w:pPr>
      <w:r>
        <w:t>ZADÁVACÍ DOKUMENTACE</w:t>
      </w:r>
    </w:p>
    <w:p w:rsidR="0008172F" w:rsidRDefault="00AA11F3" w:rsidP="00AA11F3">
      <w:pPr>
        <w:jc w:val="both"/>
      </w:pPr>
      <w:r>
        <w:rPr>
          <w:rFonts w:eastAsia="Times New Roman" w:cstheme="minorHAnsi"/>
          <w:b/>
          <w:sz w:val="24"/>
          <w:szCs w:val="20"/>
          <w:lang w:eastAsia="zh-CN"/>
        </w:rPr>
        <w:t>Veřejná zakázka</w:t>
      </w:r>
      <w:r w:rsidRPr="00AA11F3">
        <w:rPr>
          <w:rFonts w:eastAsia="Times New Roman" w:cstheme="minorHAnsi"/>
          <w:b/>
          <w:sz w:val="24"/>
          <w:szCs w:val="20"/>
          <w:lang w:eastAsia="zh-CN"/>
        </w:rPr>
        <w:t xml:space="preserve"> malého rozsahu (viz § 178 ZZVZ) na koncesi malého rozsahu, zadávan</w:t>
      </w:r>
      <w:r>
        <w:rPr>
          <w:rFonts w:eastAsia="Times New Roman" w:cstheme="minorHAnsi"/>
          <w:b/>
          <w:sz w:val="24"/>
          <w:szCs w:val="20"/>
          <w:lang w:eastAsia="zh-CN"/>
        </w:rPr>
        <w:t>á</w:t>
      </w:r>
      <w:r w:rsidRPr="00AA11F3">
        <w:rPr>
          <w:rFonts w:eastAsia="Times New Roman" w:cstheme="minorHAnsi"/>
          <w:b/>
          <w:sz w:val="24"/>
          <w:szCs w:val="20"/>
          <w:lang w:eastAsia="zh-CN"/>
        </w:rPr>
        <w:t xml:space="preserve"> mimo režim zákona č. 134/2016 Sb., o zadávání veřejných zakázkách (dále jen „zákon“)</w:t>
      </w:r>
    </w:p>
    <w:p w:rsidR="0008172F" w:rsidRDefault="0008172F" w:rsidP="0008172F">
      <w:pPr>
        <w:rPr>
          <w:rFonts w:cstheme="minorHAnsi"/>
          <w:color w:val="000000"/>
          <w:shd w:val="clear" w:color="auto" w:fill="FFFFFF"/>
        </w:rPr>
      </w:pPr>
    </w:p>
    <w:p w:rsidR="0008172F" w:rsidRDefault="0008172F" w:rsidP="0008172F">
      <w:pPr>
        <w:rPr>
          <w:rFonts w:cstheme="minorHAnsi"/>
          <w:color w:val="000000"/>
          <w:shd w:val="clear" w:color="auto" w:fill="FFFFFF"/>
        </w:rPr>
      </w:pPr>
    </w:p>
    <w:p w:rsidR="0008172F" w:rsidRDefault="0008172F" w:rsidP="0008172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Název projektu:</w:t>
      </w:r>
    </w:p>
    <w:p w:rsidR="00D80B00" w:rsidRPr="00E914F3" w:rsidRDefault="00E914F3" w:rsidP="00D80B00">
      <w:pPr>
        <w:spacing w:after="120"/>
        <w:jc w:val="center"/>
        <w:rPr>
          <w:sz w:val="48"/>
          <w:szCs w:val="48"/>
        </w:rPr>
      </w:pPr>
      <w:r w:rsidRPr="00E914F3">
        <w:rPr>
          <w:rFonts w:cstheme="minorHAnsi"/>
          <w:sz w:val="48"/>
          <w:szCs w:val="48"/>
        </w:rPr>
        <w:t>„</w:t>
      </w:r>
      <w:r w:rsidR="004B6325">
        <w:rPr>
          <w:b/>
          <w:sz w:val="48"/>
          <w:szCs w:val="48"/>
        </w:rPr>
        <w:t>Zajištění provozu Muzea papírových modelů Police nad Metují</w:t>
      </w:r>
      <w:r w:rsidRPr="00E914F3">
        <w:rPr>
          <w:b/>
          <w:sz w:val="48"/>
          <w:szCs w:val="48"/>
        </w:rPr>
        <w:t>“</w:t>
      </w:r>
    </w:p>
    <w:p w:rsidR="0008172F" w:rsidRDefault="0008172F" w:rsidP="0008172F"/>
    <w:p w:rsidR="00BE5071" w:rsidRDefault="00BE5071" w:rsidP="0008172F"/>
    <w:p w:rsidR="0008172F" w:rsidRDefault="00F87244" w:rsidP="00F87244">
      <w:pPr>
        <w:tabs>
          <w:tab w:val="left" w:pos="7545"/>
        </w:tabs>
      </w:pPr>
      <w:r>
        <w:tab/>
      </w:r>
    </w:p>
    <w:p w:rsidR="0008172F" w:rsidRDefault="0008172F" w:rsidP="00E914F3">
      <w:pPr>
        <w:spacing w:after="0" w:line="240" w:lineRule="auto"/>
      </w:pPr>
      <w:r>
        <w:t>Zadavatel veřejné zakázky:</w:t>
      </w:r>
    </w:p>
    <w:p w:rsidR="00E914F3" w:rsidRDefault="00E914F3" w:rsidP="00E914F3">
      <w:pPr>
        <w:spacing w:after="0" w:line="240" w:lineRule="auto"/>
      </w:pPr>
    </w:p>
    <w:p w:rsidR="0008172F" w:rsidRPr="00AA11F3" w:rsidRDefault="0008172F" w:rsidP="00E914F3">
      <w:pPr>
        <w:spacing w:before="120" w:after="0" w:line="240" w:lineRule="auto"/>
        <w:jc w:val="center"/>
        <w:rPr>
          <w:rFonts w:cstheme="minorHAnsi"/>
          <w:b/>
          <w:sz w:val="32"/>
          <w:szCs w:val="32"/>
        </w:rPr>
      </w:pPr>
      <w:r w:rsidRPr="00AA11F3">
        <w:rPr>
          <w:rFonts w:cstheme="minorHAnsi"/>
          <w:b/>
          <w:sz w:val="32"/>
          <w:szCs w:val="32"/>
        </w:rPr>
        <w:t>Město Police nad Metují</w:t>
      </w:r>
    </w:p>
    <w:p w:rsidR="0008172F" w:rsidRPr="00AA11F3" w:rsidRDefault="0008172F" w:rsidP="00E914F3">
      <w:pPr>
        <w:spacing w:before="120" w:after="0" w:line="240" w:lineRule="auto"/>
        <w:jc w:val="center"/>
        <w:rPr>
          <w:rFonts w:cstheme="minorHAnsi"/>
          <w:sz w:val="32"/>
          <w:szCs w:val="32"/>
        </w:rPr>
      </w:pPr>
      <w:r w:rsidRPr="00AA11F3">
        <w:rPr>
          <w:rFonts w:cstheme="minorHAnsi"/>
          <w:sz w:val="32"/>
          <w:szCs w:val="32"/>
        </w:rPr>
        <w:t>Masarykovo náměstí 98</w:t>
      </w:r>
    </w:p>
    <w:p w:rsidR="0008172F" w:rsidRPr="00AA11F3" w:rsidRDefault="0008172F" w:rsidP="00E914F3">
      <w:pPr>
        <w:spacing w:before="120" w:after="0" w:line="240" w:lineRule="auto"/>
        <w:jc w:val="center"/>
        <w:rPr>
          <w:rFonts w:cstheme="minorHAnsi"/>
          <w:sz w:val="32"/>
          <w:szCs w:val="32"/>
        </w:rPr>
      </w:pPr>
      <w:r w:rsidRPr="00AA11F3">
        <w:rPr>
          <w:rFonts w:cstheme="minorHAnsi"/>
          <w:sz w:val="32"/>
          <w:szCs w:val="32"/>
        </w:rPr>
        <w:t>549 54 Police nad Metují</w:t>
      </w:r>
    </w:p>
    <w:p w:rsidR="0008172F" w:rsidRDefault="0008172F" w:rsidP="0008172F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50479428"/>
        <w:docPartObj>
          <w:docPartGallery w:val="Table of Contents"/>
          <w:docPartUnique/>
        </w:docPartObj>
      </w:sdtPr>
      <w:sdtEndPr/>
      <w:sdtContent>
        <w:p w:rsidR="0008172F" w:rsidRDefault="0008172F">
          <w:pPr>
            <w:pStyle w:val="Nadpisobsahu"/>
          </w:pPr>
          <w:r>
            <w:t>Obsah</w:t>
          </w:r>
        </w:p>
        <w:p w:rsidR="00B62CAD" w:rsidRDefault="00AF527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430452" w:history="1">
            <w:r w:rsidR="00B62CAD" w:rsidRPr="009D29F5">
              <w:rPr>
                <w:rStyle w:val="Hypertextovodkaz"/>
                <w:noProof/>
              </w:rPr>
              <w:t>1.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Preambule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_Toc101430452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3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3" w:history="1">
            <w:r w:rsidR="00B62CAD" w:rsidRPr="009D29F5">
              <w:rPr>
                <w:rStyle w:val="Hypertextovodkaz"/>
                <w:noProof/>
              </w:rPr>
              <w:t>2.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Informace o zadavateli veřejné zakázky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_Toc101430453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3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4" w:history="1">
            <w:r w:rsidR="00B62CAD" w:rsidRPr="009D29F5">
              <w:rPr>
                <w:rStyle w:val="Hypertextovodkaz"/>
                <w:noProof/>
              </w:rPr>
              <w:t>3.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Předmět veřejné zakázky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_Toc101430454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3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5" w:history="1">
            <w:r w:rsidR="00B62CAD" w:rsidRPr="009D29F5">
              <w:rPr>
                <w:rStyle w:val="Hypertextovodkaz"/>
                <w:noProof/>
              </w:rPr>
              <w:t>4.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Předpokládaná hodnota veřejné zakázky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3</w:t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6" w:history="1">
            <w:r w:rsidR="00B62CAD" w:rsidRPr="009D29F5">
              <w:rPr>
                <w:rStyle w:val="Hypertextovodkaz"/>
                <w:noProof/>
              </w:rPr>
              <w:t>5.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Místo pro plnění veřejné zakázky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_Toc101430456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4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7" w:history="1">
            <w:r w:rsidR="00B62CAD" w:rsidRPr="009D29F5">
              <w:rPr>
                <w:rStyle w:val="Hypertextovodkaz"/>
                <w:noProof/>
              </w:rPr>
              <w:t>6.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Lhůta pro plnění veřejné zakázky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_Toc101430457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4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8" w:history="1">
            <w:r w:rsidR="00B62CAD" w:rsidRPr="009D29F5">
              <w:rPr>
                <w:rStyle w:val="Hypertextovodkaz"/>
                <w:noProof/>
              </w:rPr>
              <w:t>7.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Způsob zajištění plnění veřejné zakázky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_Toc101430458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4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59" w:history="1">
            <w:r w:rsidR="00B62CAD" w:rsidRPr="009D29F5">
              <w:rPr>
                <w:rStyle w:val="Hypertextovodkaz"/>
                <w:noProof/>
              </w:rPr>
              <w:t>8.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Obchodní podmínky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4</w:t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0" w:history="1">
            <w:r w:rsidR="00B62CAD" w:rsidRPr="009D29F5">
              <w:rPr>
                <w:rStyle w:val="Hypertextovodkaz"/>
                <w:noProof/>
              </w:rPr>
              <w:t>9.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Doklad o pojištění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_Toc101430460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5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1" w:history="1">
            <w:r w:rsidR="00B62CAD" w:rsidRPr="009D29F5">
              <w:rPr>
                <w:rStyle w:val="Hypertextovodkaz"/>
                <w:noProof/>
              </w:rPr>
              <w:t>10.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Ocenění slepého rozpočtu</w:t>
            </w:r>
            <w:r w:rsidR="00B62CAD">
              <w:rPr>
                <w:noProof/>
                <w:webHidden/>
              </w:rPr>
              <w:tab/>
            </w:r>
            <w:r w:rsidR="00B62CAD">
              <w:rPr>
                <w:noProof/>
                <w:webHidden/>
              </w:rPr>
              <w:fldChar w:fldCharType="begin"/>
            </w:r>
            <w:r w:rsidR="00B62CAD">
              <w:rPr>
                <w:noProof/>
                <w:webHidden/>
              </w:rPr>
              <w:instrText xml:space="preserve"> PAGEREF _Toc101430461 \h </w:instrText>
            </w:r>
            <w:r w:rsidR="00B62CAD">
              <w:rPr>
                <w:noProof/>
                <w:webHidden/>
              </w:rPr>
            </w:r>
            <w:r w:rsidR="00B62CAD">
              <w:rPr>
                <w:noProof/>
                <w:webHidden/>
              </w:rPr>
              <w:fldChar w:fldCharType="separate"/>
            </w:r>
            <w:r w:rsidR="00B62CAD">
              <w:rPr>
                <w:noProof/>
                <w:webHidden/>
              </w:rPr>
              <w:t>5</w:t>
            </w:r>
            <w:r w:rsidR="00B62CAD">
              <w:rPr>
                <w:noProof/>
                <w:webHidden/>
              </w:rPr>
              <w:fldChar w:fldCharType="end"/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2" w:history="1">
            <w:r w:rsidR="00B62CAD" w:rsidRPr="009D29F5">
              <w:rPr>
                <w:rStyle w:val="Hypertextovodkaz"/>
                <w:noProof/>
              </w:rPr>
              <w:t>11.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Požadavky na způsob zpracování cenové nabídky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5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3" w:history="1">
            <w:r w:rsidR="00B62CAD" w:rsidRPr="009D29F5">
              <w:rPr>
                <w:rStyle w:val="Hypertextovodkaz"/>
                <w:noProof/>
              </w:rPr>
              <w:t>12.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Platební podmínky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5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4" w:history="1">
            <w:r w:rsidR="00B62CAD" w:rsidRPr="009D29F5">
              <w:rPr>
                <w:rStyle w:val="Hypertextovodkaz"/>
                <w:noProof/>
              </w:rPr>
              <w:t>13.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Kvalitativní a technické požadavky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5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5" w:history="1">
            <w:r w:rsidR="00B62CAD" w:rsidRPr="009D29F5">
              <w:rPr>
                <w:rStyle w:val="Hypertextovodkaz"/>
                <w:noProof/>
              </w:rPr>
              <w:t>14.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Požadavky na prokázání kvalifikace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5</w:t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6" w:history="1">
            <w:r w:rsidR="00B62CAD" w:rsidRPr="009D29F5">
              <w:rPr>
                <w:rStyle w:val="Hypertextovodkaz"/>
                <w:noProof/>
              </w:rPr>
              <w:t>a)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Základní způsobilost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6</w:t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7" w:history="1">
            <w:r w:rsidR="00B62CAD" w:rsidRPr="009D29F5">
              <w:rPr>
                <w:rStyle w:val="Hypertextovodkaz"/>
                <w:noProof/>
              </w:rPr>
              <w:t>b)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Profesní způsobilost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6</w:t>
            </w:r>
          </w:hyperlink>
        </w:p>
        <w:p w:rsidR="00B62CAD" w:rsidRDefault="0059000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8" w:history="1">
            <w:r w:rsidR="00B62CAD" w:rsidRPr="009D29F5">
              <w:rPr>
                <w:rStyle w:val="Hypertextovodkaz"/>
                <w:noProof/>
              </w:rPr>
              <w:t>c)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Technická kvalifikace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6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69" w:history="1">
            <w:r w:rsidR="00B62CAD" w:rsidRPr="009D29F5">
              <w:rPr>
                <w:rStyle w:val="Hypertextovodkaz"/>
                <w:noProof/>
              </w:rPr>
              <w:t>15.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Pokyny pro zpracování nabídky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6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0" w:history="1">
            <w:r w:rsidR="00B62CAD" w:rsidRPr="009D29F5">
              <w:rPr>
                <w:rStyle w:val="Hypertextovodkaz"/>
                <w:noProof/>
              </w:rPr>
              <w:t>16.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Kritérium hodnocení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7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1" w:history="1">
            <w:r w:rsidR="00B62CAD" w:rsidRPr="009D29F5">
              <w:rPr>
                <w:rStyle w:val="Hypertextovodkaz"/>
                <w:noProof/>
              </w:rPr>
              <w:t>17.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Metoda hodnocení nabídek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7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2" w:history="1">
            <w:r w:rsidR="00B62CAD" w:rsidRPr="009D29F5">
              <w:rPr>
                <w:rStyle w:val="Hypertextovodkaz"/>
                <w:noProof/>
              </w:rPr>
              <w:t>18.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Mimořádně nízká nabídková cena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7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3" w:history="1">
            <w:r w:rsidR="00B62CAD" w:rsidRPr="009D29F5">
              <w:rPr>
                <w:rStyle w:val="Hypertextovodkaz"/>
                <w:noProof/>
              </w:rPr>
              <w:t>19.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Lhůta a místo pro podání nabídek, otevírání obálek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7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4" w:history="1">
            <w:r w:rsidR="00B62CAD" w:rsidRPr="009D29F5">
              <w:rPr>
                <w:rStyle w:val="Hypertextovodkaz"/>
                <w:noProof/>
              </w:rPr>
              <w:t>20.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Zadávací lhůta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8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5" w:history="1">
            <w:r w:rsidR="00B62CAD" w:rsidRPr="009D29F5">
              <w:rPr>
                <w:rStyle w:val="Hypertextovodkaz"/>
                <w:noProof/>
              </w:rPr>
              <w:t>21.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Vysvětlení zadávacích podmínek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8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6" w:history="1">
            <w:r w:rsidR="00B62CAD" w:rsidRPr="009D29F5">
              <w:rPr>
                <w:rStyle w:val="Hypertextovodkaz"/>
                <w:noProof/>
              </w:rPr>
              <w:t>22.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Finanční kontroly ze strany kontrolních subjektů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8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7" w:history="1">
            <w:r w:rsidR="00B62CAD" w:rsidRPr="009D29F5">
              <w:rPr>
                <w:rStyle w:val="Hypertextovodkaz"/>
                <w:noProof/>
              </w:rPr>
              <w:t>23.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Vyhrazené změny závazku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8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8" w:history="1">
            <w:r w:rsidR="00B62CAD" w:rsidRPr="009D29F5">
              <w:rPr>
                <w:rStyle w:val="Hypertextovodkaz"/>
                <w:noProof/>
              </w:rPr>
              <w:t>24.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Vyhrazená práva zadavatele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9</w:t>
            </w:r>
          </w:hyperlink>
        </w:p>
        <w:p w:rsidR="00B62CAD" w:rsidRDefault="00590004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01430479" w:history="1">
            <w:r w:rsidR="00B62CAD" w:rsidRPr="009D29F5">
              <w:rPr>
                <w:rStyle w:val="Hypertextovodkaz"/>
                <w:noProof/>
              </w:rPr>
              <w:t>25.</w:t>
            </w:r>
            <w:r w:rsidR="00B62CAD">
              <w:rPr>
                <w:rFonts w:eastAsiaTheme="minorEastAsia"/>
                <w:noProof/>
                <w:lang w:eastAsia="cs-CZ"/>
              </w:rPr>
              <w:tab/>
            </w:r>
            <w:r w:rsidR="00B62CAD" w:rsidRPr="009D29F5">
              <w:rPr>
                <w:rStyle w:val="Hypertextovodkaz"/>
                <w:noProof/>
              </w:rPr>
              <w:t>Přílohy zadávací dokumentace</w:t>
            </w:r>
            <w:r w:rsidR="00B62CAD">
              <w:rPr>
                <w:noProof/>
                <w:webHidden/>
              </w:rPr>
              <w:tab/>
            </w:r>
            <w:r w:rsidR="00497690">
              <w:rPr>
                <w:noProof/>
                <w:webHidden/>
              </w:rPr>
              <w:t>9</w:t>
            </w:r>
          </w:hyperlink>
        </w:p>
        <w:p w:rsidR="0008172F" w:rsidRDefault="00AF527F">
          <w:r>
            <w:rPr>
              <w:b/>
              <w:bCs/>
              <w:noProof/>
            </w:rPr>
            <w:fldChar w:fldCharType="end"/>
          </w:r>
        </w:p>
      </w:sdtContent>
    </w:sdt>
    <w:p w:rsidR="009C3A3D" w:rsidRDefault="009C3A3D" w:rsidP="009C3A3D"/>
    <w:p w:rsidR="009C3A3D" w:rsidRDefault="009C3A3D" w:rsidP="009C3A3D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0" w:name="_Toc12533882"/>
      <w:bookmarkStart w:id="1" w:name="_Toc101430452"/>
      <w:r>
        <w:t>Preambule</w:t>
      </w:r>
      <w:bookmarkEnd w:id="0"/>
      <w:bookmarkEnd w:id="1"/>
    </w:p>
    <w:p w:rsidR="009C3A3D" w:rsidRPr="00B925FD" w:rsidRDefault="009C3A3D" w:rsidP="009C3A3D">
      <w:pPr>
        <w:jc w:val="both"/>
        <w:rPr>
          <w:szCs w:val="18"/>
        </w:rPr>
      </w:pPr>
      <w:r w:rsidRPr="00B925FD">
        <w:rPr>
          <w:szCs w:val="18"/>
        </w:rPr>
        <w:t xml:space="preserve">Tato zadávací dokumentace je vypracována jako podklad pro podání nabídek v rámci výběrového řízení na veřejnou zakázku malého </w:t>
      </w:r>
      <w:r w:rsidR="00FC5F05">
        <w:rPr>
          <w:szCs w:val="18"/>
        </w:rPr>
        <w:t xml:space="preserve">rozsahu (viz § </w:t>
      </w:r>
      <w:r w:rsidR="009E1F25">
        <w:rPr>
          <w:szCs w:val="18"/>
        </w:rPr>
        <w:t>178</w:t>
      </w:r>
      <w:r w:rsidR="00FC5F05">
        <w:rPr>
          <w:szCs w:val="18"/>
        </w:rPr>
        <w:t xml:space="preserve"> </w:t>
      </w:r>
      <w:r w:rsidR="009E1F25">
        <w:rPr>
          <w:szCs w:val="18"/>
        </w:rPr>
        <w:t>ZZVZ</w:t>
      </w:r>
      <w:r w:rsidR="00FC5F05">
        <w:rPr>
          <w:szCs w:val="18"/>
        </w:rPr>
        <w:t xml:space="preserve">) na </w:t>
      </w:r>
      <w:r w:rsidR="004B6325">
        <w:rPr>
          <w:szCs w:val="18"/>
        </w:rPr>
        <w:t>koncesi malého rozsahu</w:t>
      </w:r>
      <w:r w:rsidRPr="00B925FD">
        <w:rPr>
          <w:szCs w:val="18"/>
        </w:rPr>
        <w:t>, zadávanou mimo režim zákona č. 134/2016 Sb., o zadávání veřejných zakázkách (dále jen „zákon“)</w:t>
      </w:r>
      <w:r w:rsidR="00565052">
        <w:t xml:space="preserve">. </w:t>
      </w:r>
      <w:r w:rsidRPr="00B925FD">
        <w:rPr>
          <w:bCs/>
        </w:rPr>
        <w:t>Pokud se v textu vyskytne odkaz na zákon, jedná se pouze podpůrné použití konkrétního ustanovení zákona.</w:t>
      </w:r>
      <w:r w:rsidRPr="00B925FD">
        <w:rPr>
          <w:szCs w:val="18"/>
        </w:rPr>
        <w:t xml:space="preserve"> </w:t>
      </w:r>
      <w:r>
        <w:t xml:space="preserve">Podrobnosti k předmětu plnění veřejné zakázky jsou uvedeny v přílohách zadávací dokumentace. </w:t>
      </w:r>
      <w:r w:rsidR="00FC5F05">
        <w:rPr>
          <w:szCs w:val="18"/>
        </w:rPr>
        <w:t>Podáním nabídky ve výběrovém řízení přijímá dodavatel</w:t>
      </w:r>
      <w:r w:rsidRPr="00B925FD">
        <w:rPr>
          <w:szCs w:val="18"/>
        </w:rPr>
        <w:t xml:space="preserve"> plně a bez výhrad zadávací podmínky, včetně všech příloh a případných dodatků k těmto zadávacím podm</w:t>
      </w:r>
      <w:r w:rsidR="00FC5F05">
        <w:rPr>
          <w:szCs w:val="18"/>
        </w:rPr>
        <w:t>ínkám. Pokud dodavatel</w:t>
      </w:r>
      <w:r w:rsidRPr="00B925FD">
        <w:rPr>
          <w:szCs w:val="18"/>
        </w:rPr>
        <w:t xml:space="preserve"> neposkytne včas všechny požadované informace a dokumentaci, nebo pokud jeho nabídka nebude v každém ohledu odpovídat zadávacím podmínkám, může to mít za důsledek vyřazení nabíd</w:t>
      </w:r>
      <w:r w:rsidR="00FC5F05">
        <w:rPr>
          <w:szCs w:val="18"/>
        </w:rPr>
        <w:t>ky a následné vyloučení dodavatele z výběrového</w:t>
      </w:r>
      <w:r w:rsidRPr="00B925FD">
        <w:rPr>
          <w:szCs w:val="18"/>
        </w:rPr>
        <w:t xml:space="preserve"> řízení. V úvahu n</w:t>
      </w:r>
      <w:r w:rsidR="00FC5F05">
        <w:rPr>
          <w:szCs w:val="18"/>
        </w:rPr>
        <w:t>elze vzít žádnou výhradu dodavatel</w:t>
      </w:r>
      <w:r w:rsidRPr="00B925FD">
        <w:rPr>
          <w:szCs w:val="18"/>
        </w:rPr>
        <w:t>e k zadávacím podmínkám obsaženou v jeho nabídce, jakákoliv výhrada znamená okamžité vyřaz</w:t>
      </w:r>
      <w:r w:rsidR="00FC5F05">
        <w:rPr>
          <w:szCs w:val="18"/>
        </w:rPr>
        <w:t>ení nabídky a vyloučení dodavatele. Dodavatelům</w:t>
      </w:r>
      <w:r w:rsidRPr="00B925FD">
        <w:rPr>
          <w:szCs w:val="18"/>
        </w:rPr>
        <w:t xml:space="preserve"> nenáleží náhrada nákladů spojených s přípravou nabídky. </w:t>
      </w:r>
    </w:p>
    <w:p w:rsidR="009C3A3D" w:rsidRDefault="009C3A3D" w:rsidP="009C3A3D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2" w:name="_Toc12533883"/>
      <w:bookmarkStart w:id="3" w:name="_Toc101430453"/>
      <w:r>
        <w:t>Informace o zadavateli veřejné zakázky</w:t>
      </w:r>
      <w:bookmarkEnd w:id="2"/>
      <w:bookmarkEnd w:id="3"/>
    </w:p>
    <w:p w:rsidR="009C3A3D" w:rsidRDefault="009C3A3D" w:rsidP="00B62CAD">
      <w:pPr>
        <w:spacing w:after="0"/>
        <w:jc w:val="both"/>
      </w:pPr>
      <w:r>
        <w:t>Zadavatel: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3F0">
        <w:rPr>
          <w:b/>
        </w:rPr>
        <w:t>Město Police nad Metují</w:t>
      </w:r>
    </w:p>
    <w:p w:rsidR="009C3A3D" w:rsidRDefault="009C3A3D" w:rsidP="00B62CAD">
      <w:pPr>
        <w:spacing w:after="0"/>
        <w:ind w:left="4950" w:hanging="4950"/>
        <w:jc w:val="both"/>
      </w:pPr>
      <w:r>
        <w:t>Adresa:</w:t>
      </w:r>
      <w:r>
        <w:tab/>
      </w:r>
      <w:r>
        <w:tab/>
        <w:t>Masarykovo náměstí 98, 549 54 Police nad Metují</w:t>
      </w:r>
    </w:p>
    <w:p w:rsidR="009C3A3D" w:rsidRDefault="009C3A3D" w:rsidP="00B62CAD">
      <w:pPr>
        <w:spacing w:after="0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00 272 949</w:t>
      </w:r>
    </w:p>
    <w:p w:rsidR="009C3A3D" w:rsidRPr="00B72BC7" w:rsidRDefault="009C3A3D" w:rsidP="00B62CAD">
      <w:pPr>
        <w:spacing w:after="0"/>
        <w:jc w:val="both"/>
      </w:pPr>
      <w:r>
        <w:t>Osoba pověřená jednat za zadavatele:</w:t>
      </w:r>
      <w:r>
        <w:tab/>
      </w:r>
      <w:r>
        <w:tab/>
      </w:r>
      <w:r>
        <w:tab/>
      </w:r>
      <w:r w:rsidR="009E1F25">
        <w:t>Ing. Jiří Beran</w:t>
      </w:r>
      <w:r w:rsidRPr="00B72BC7">
        <w:t>, starosta</w:t>
      </w:r>
    </w:p>
    <w:p w:rsidR="009C3A3D" w:rsidRPr="00B72BC7" w:rsidRDefault="00B72BC7" w:rsidP="00B62CAD">
      <w:pPr>
        <w:spacing w:after="0"/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+420</w:t>
      </w:r>
      <w:r w:rsidR="009E1F25">
        <w:t> 775 854 205</w:t>
      </w:r>
    </w:p>
    <w:p w:rsidR="009C3A3D" w:rsidRDefault="009C3A3D" w:rsidP="00B62CAD">
      <w:pPr>
        <w:spacing w:after="0"/>
        <w:jc w:val="both"/>
      </w:pPr>
      <w:r w:rsidRPr="00B72BC7">
        <w:t>E-mail:</w:t>
      </w:r>
      <w:r w:rsidRPr="00B72BC7">
        <w:tab/>
      </w:r>
      <w:r w:rsidRPr="00B72BC7">
        <w:tab/>
      </w:r>
      <w:r w:rsidRPr="00B72BC7">
        <w:tab/>
      </w:r>
      <w:r w:rsidRPr="00B72BC7">
        <w:tab/>
      </w:r>
      <w:r w:rsidRPr="00B72BC7">
        <w:tab/>
      </w:r>
      <w:r w:rsidRPr="00B72BC7">
        <w:tab/>
      </w:r>
      <w:r w:rsidRPr="00B72BC7">
        <w:tab/>
      </w:r>
      <w:hyperlink r:id="rId8" w:history="1">
        <w:r w:rsidR="009E1F25" w:rsidRPr="001676AF">
          <w:rPr>
            <w:rStyle w:val="Hypertextovodkaz"/>
          </w:rPr>
          <w:t>beran@policenm.cz</w:t>
        </w:r>
      </w:hyperlink>
      <w:r>
        <w:t xml:space="preserve"> </w:t>
      </w:r>
    </w:p>
    <w:p w:rsidR="009C3A3D" w:rsidRDefault="009C3A3D" w:rsidP="00B62CAD">
      <w:pPr>
        <w:spacing w:after="0"/>
      </w:pPr>
    </w:p>
    <w:p w:rsidR="00ED0622" w:rsidRDefault="00ED0622" w:rsidP="00ED0622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4" w:name="_Toc12533884"/>
      <w:bookmarkStart w:id="5" w:name="_Toc101430454"/>
      <w:r>
        <w:t>Předmět veřejné zakázky</w:t>
      </w:r>
      <w:bookmarkEnd w:id="4"/>
      <w:bookmarkEnd w:id="5"/>
    </w:p>
    <w:p w:rsidR="009E1F25" w:rsidRDefault="009E1F25" w:rsidP="009E1F25">
      <w:pPr>
        <w:jc w:val="both"/>
      </w:pPr>
      <w:bookmarkStart w:id="6" w:name="_Toc12533885"/>
      <w:r>
        <w:t xml:space="preserve">Předmětem veřejné zakázky je koncese malého rozsahu na služby spočívající v zajištění provozu Muzea papírových modelů, provozovaného na adrese Tyršova 341, Police nad Metují, přičemž zajištěním provozu se rozumí </w:t>
      </w:r>
      <w:r w:rsidRPr="009E1F25">
        <w:t>obstaráv</w:t>
      </w:r>
      <w:r>
        <w:t xml:space="preserve">ání </w:t>
      </w:r>
      <w:r w:rsidRPr="009E1F25">
        <w:t>vše</w:t>
      </w:r>
      <w:r>
        <w:t>ho,</w:t>
      </w:r>
      <w:r w:rsidRPr="009E1F25">
        <w:t xml:space="preserve"> co s tím souvisí</w:t>
      </w:r>
      <w:r>
        <w:t xml:space="preserve"> se současným provozem muzea, tj. </w:t>
      </w:r>
      <w:r w:rsidRPr="009E1F25">
        <w:t>zajišťov</w:t>
      </w:r>
      <w:r>
        <w:t xml:space="preserve">ání </w:t>
      </w:r>
      <w:r w:rsidRPr="009E1F25">
        <w:t>prohlíd</w:t>
      </w:r>
      <w:r>
        <w:t>e</w:t>
      </w:r>
      <w:r w:rsidRPr="009E1F25">
        <w:t>k, v</w:t>
      </w:r>
      <w:r>
        <w:t>ý</w:t>
      </w:r>
      <w:r w:rsidRPr="009E1F25">
        <w:t>b</w:t>
      </w:r>
      <w:r>
        <w:t xml:space="preserve">ěru </w:t>
      </w:r>
      <w:r w:rsidRPr="009E1F25">
        <w:t>vstupné</w:t>
      </w:r>
      <w:r>
        <w:t>ho</w:t>
      </w:r>
      <w:r w:rsidRPr="009E1F25">
        <w:t>,</w:t>
      </w:r>
      <w:r>
        <w:t xml:space="preserve"> vč.</w:t>
      </w:r>
      <w:r w:rsidRPr="009E1F25">
        <w:t xml:space="preserve"> zajišťov</w:t>
      </w:r>
      <w:r>
        <w:t xml:space="preserve">ání </w:t>
      </w:r>
      <w:r w:rsidRPr="009E1F25">
        <w:t>drobn</w:t>
      </w:r>
      <w:r>
        <w:t xml:space="preserve">ých </w:t>
      </w:r>
      <w:r w:rsidRPr="009E1F25">
        <w:t>oprav prostor</w:t>
      </w:r>
      <w:r>
        <w:t>,</w:t>
      </w:r>
      <w:r w:rsidRPr="009E1F25">
        <w:t xml:space="preserve"> atd.). </w:t>
      </w:r>
    </w:p>
    <w:p w:rsidR="00FF02A9" w:rsidRDefault="009E1F25" w:rsidP="009E1F25">
      <w:pPr>
        <w:jc w:val="both"/>
      </w:pPr>
      <w:r w:rsidRPr="009E1F25">
        <w:t xml:space="preserve">Smlouva </w:t>
      </w:r>
      <w:r>
        <w:t>bude uzavírána na dobu u</w:t>
      </w:r>
      <w:r w:rsidRPr="009E1F25">
        <w:t>rčitou 3 let.</w:t>
      </w:r>
      <w:r w:rsidR="00FF02A9">
        <w:t xml:space="preserve">  </w:t>
      </w:r>
    </w:p>
    <w:p w:rsidR="00872451" w:rsidRDefault="00D11D37" w:rsidP="00175560">
      <w:pPr>
        <w:jc w:val="both"/>
      </w:pPr>
      <w:r w:rsidRPr="000F10D6">
        <w:t>Podrobn</w:t>
      </w:r>
      <w:r w:rsidR="007B46F1">
        <w:t xml:space="preserve">ější </w:t>
      </w:r>
      <w:r w:rsidRPr="000F10D6">
        <w:t>specifikace</w:t>
      </w:r>
      <w:r w:rsidR="009E1F25">
        <w:t xml:space="preserve"> služby vyplývá z návrhu smlouvy, který je </w:t>
      </w:r>
      <w:r w:rsidR="00872451" w:rsidRPr="000F10D6">
        <w:t xml:space="preserve">příloze č. </w:t>
      </w:r>
      <w:r w:rsidR="009E1F25" w:rsidRPr="00175560">
        <w:t>3</w:t>
      </w:r>
      <w:r w:rsidR="00B27956" w:rsidRPr="000F10D6">
        <w:t xml:space="preserve"> </w:t>
      </w:r>
      <w:r w:rsidR="009E1F25">
        <w:t>součástí zadávací dokumentace</w:t>
      </w:r>
      <w:r w:rsidR="00872451" w:rsidRPr="000F10D6">
        <w:t>.</w:t>
      </w:r>
    </w:p>
    <w:p w:rsidR="00ED0622" w:rsidRDefault="00ED0622" w:rsidP="00ED0622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7" w:name="_Toc12533886"/>
      <w:bookmarkStart w:id="8" w:name="_Toc101430455"/>
      <w:bookmarkEnd w:id="6"/>
      <w:r>
        <w:t>Předpokládaná hodnota veřejné zakázky</w:t>
      </w:r>
      <w:bookmarkEnd w:id="7"/>
      <w:bookmarkEnd w:id="8"/>
    </w:p>
    <w:p w:rsidR="00E914F3" w:rsidRPr="00E914F3" w:rsidRDefault="00ED0622" w:rsidP="002221FB">
      <w:pPr>
        <w:spacing w:after="120"/>
        <w:rPr>
          <w:b/>
        </w:rPr>
      </w:pPr>
      <w:r>
        <w:t>Předpokládaná hodnota veřejné zakázky</w:t>
      </w:r>
      <w:r w:rsidR="002C02B4">
        <w:t>:</w:t>
      </w:r>
      <w:r w:rsidR="002C02B4">
        <w:tab/>
      </w:r>
      <w:r w:rsidR="00E914F3" w:rsidRPr="00E914F3">
        <w:rPr>
          <w:b/>
        </w:rPr>
        <w:t>2</w:t>
      </w:r>
      <w:r w:rsidR="00AA11F3">
        <w:rPr>
          <w:b/>
        </w:rPr>
        <w:t>.</w:t>
      </w:r>
      <w:r w:rsidR="009E1F25">
        <w:rPr>
          <w:b/>
        </w:rPr>
        <w:t>0</w:t>
      </w:r>
      <w:r w:rsidR="00E914F3" w:rsidRPr="00E914F3">
        <w:rPr>
          <w:b/>
        </w:rPr>
        <w:t>00.000 Kč</w:t>
      </w:r>
    </w:p>
    <w:p w:rsidR="002C02B4" w:rsidRPr="00E914F3" w:rsidRDefault="009E1F25" w:rsidP="00E914F3">
      <w:pPr>
        <w:spacing w:after="120"/>
      </w:pPr>
      <w:r>
        <w:rPr>
          <w:bCs/>
        </w:rPr>
        <w:t>(náklad města na zajištění provozu po dobu trvání smlouvy)</w:t>
      </w:r>
      <w:r w:rsidR="002C02B4" w:rsidRPr="00E914F3">
        <w:rPr>
          <w:bCs/>
        </w:rPr>
        <w:t>.</w:t>
      </w:r>
    </w:p>
    <w:p w:rsidR="00ED0622" w:rsidRDefault="00ED0622" w:rsidP="00ED0622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9" w:name="_Toc12533887"/>
      <w:bookmarkStart w:id="10" w:name="_Toc101430456"/>
      <w:r>
        <w:t>Místo pro plnění veřejné zakázky</w:t>
      </w:r>
      <w:bookmarkEnd w:id="9"/>
      <w:bookmarkEnd w:id="10"/>
    </w:p>
    <w:p w:rsidR="00BB05B0" w:rsidRDefault="00ED0622" w:rsidP="00ED0622">
      <w:r>
        <w:t>Místo plnění veřejné zakázky</w:t>
      </w:r>
      <w:r w:rsidR="00BB05B0">
        <w:t xml:space="preserve">: </w:t>
      </w:r>
    </w:p>
    <w:p w:rsidR="00BB05B0" w:rsidRPr="00175560" w:rsidRDefault="00ED0622" w:rsidP="00175560">
      <w:pPr>
        <w:rPr>
          <w:b/>
        </w:rPr>
      </w:pPr>
      <w:r w:rsidRPr="00175560">
        <w:rPr>
          <w:b/>
        </w:rPr>
        <w:t>Královehradeck</w:t>
      </w:r>
      <w:r w:rsidR="00BB05B0" w:rsidRPr="00175560">
        <w:rPr>
          <w:b/>
        </w:rPr>
        <w:t>ý</w:t>
      </w:r>
      <w:r w:rsidRPr="00175560">
        <w:rPr>
          <w:b/>
        </w:rPr>
        <w:t xml:space="preserve"> kraj, </w:t>
      </w:r>
      <w:r w:rsidR="00BB05B0" w:rsidRPr="00175560">
        <w:rPr>
          <w:b/>
        </w:rPr>
        <w:t>obec</w:t>
      </w:r>
      <w:r w:rsidR="00304824" w:rsidRPr="00175560">
        <w:rPr>
          <w:b/>
        </w:rPr>
        <w:t xml:space="preserve"> </w:t>
      </w:r>
      <w:r w:rsidR="00D80B00" w:rsidRPr="00175560">
        <w:rPr>
          <w:b/>
        </w:rPr>
        <w:t>Police nad Metují</w:t>
      </w:r>
      <w:r w:rsidR="005B666C" w:rsidRPr="00175560">
        <w:rPr>
          <w:b/>
        </w:rPr>
        <w:t>,</w:t>
      </w:r>
      <w:r w:rsidR="00175560" w:rsidRPr="00175560">
        <w:rPr>
          <w:b/>
        </w:rPr>
        <w:t xml:space="preserve"> ul. Tyršova,</w:t>
      </w:r>
      <w:r w:rsidR="005B666C" w:rsidRPr="00175560">
        <w:rPr>
          <w:b/>
        </w:rPr>
        <w:t xml:space="preserve"> </w:t>
      </w:r>
      <w:r w:rsidR="00F87244" w:rsidRPr="00175560">
        <w:rPr>
          <w:b/>
        </w:rPr>
        <w:t xml:space="preserve">na </w:t>
      </w:r>
      <w:r w:rsidR="00FE31B4" w:rsidRPr="00175560">
        <w:rPr>
          <w:b/>
        </w:rPr>
        <w:t>pozemku</w:t>
      </w:r>
      <w:r w:rsidR="00E15E44" w:rsidRPr="00175560">
        <w:rPr>
          <w:b/>
        </w:rPr>
        <w:t xml:space="preserve"> p.</w:t>
      </w:r>
      <w:r w:rsidR="00BB4CA0" w:rsidRPr="00175560">
        <w:rPr>
          <w:b/>
        </w:rPr>
        <w:t xml:space="preserve"> </w:t>
      </w:r>
      <w:r w:rsidR="00E15E44" w:rsidRPr="00175560">
        <w:rPr>
          <w:b/>
        </w:rPr>
        <w:t>č.</w:t>
      </w:r>
      <w:r w:rsidR="00175560" w:rsidRPr="00175560">
        <w:rPr>
          <w:b/>
        </w:rPr>
        <w:t xml:space="preserve"> st.</w:t>
      </w:r>
      <w:r w:rsidR="00E15E44" w:rsidRPr="00175560">
        <w:rPr>
          <w:b/>
        </w:rPr>
        <w:t xml:space="preserve"> </w:t>
      </w:r>
      <w:r w:rsidR="00175560" w:rsidRPr="00175560">
        <w:rPr>
          <w:b/>
        </w:rPr>
        <w:t xml:space="preserve">413/1 </w:t>
      </w:r>
      <w:r w:rsidR="00F87244" w:rsidRPr="00175560">
        <w:rPr>
          <w:b/>
        </w:rPr>
        <w:t xml:space="preserve">v </w:t>
      </w:r>
      <w:r w:rsidR="00E15E44" w:rsidRPr="00175560">
        <w:rPr>
          <w:b/>
        </w:rPr>
        <w:t>k.</w:t>
      </w:r>
      <w:r w:rsidR="00BB4CA0" w:rsidRPr="00175560">
        <w:rPr>
          <w:b/>
        </w:rPr>
        <w:t xml:space="preserve"> </w:t>
      </w:r>
      <w:r w:rsidR="00E15E44" w:rsidRPr="00175560">
        <w:rPr>
          <w:b/>
        </w:rPr>
        <w:t xml:space="preserve">ú. </w:t>
      </w:r>
      <w:r w:rsidR="00986F4F" w:rsidRPr="00175560">
        <w:rPr>
          <w:b/>
        </w:rPr>
        <w:t>Police nad Metují</w:t>
      </w:r>
      <w:r w:rsidR="00175560" w:rsidRPr="00175560">
        <w:rPr>
          <w:b/>
        </w:rPr>
        <w:t>, jehož součástí je budova čp. 341</w:t>
      </w:r>
    </w:p>
    <w:p w:rsidR="00ED0622" w:rsidRDefault="00ED0622" w:rsidP="00ED0622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11" w:name="_Toc12533888"/>
      <w:bookmarkStart w:id="12" w:name="_Toc101430457"/>
      <w:r>
        <w:t>Lhůta pro plnění veřejné zakázky</w:t>
      </w:r>
      <w:bookmarkEnd w:id="11"/>
      <w:bookmarkEnd w:id="12"/>
    </w:p>
    <w:p w:rsidR="00ED0622" w:rsidRPr="00805CAB" w:rsidRDefault="00ED0622" w:rsidP="00C54592">
      <w:pPr>
        <w:ind w:left="5670" w:hanging="5670"/>
        <w:jc w:val="both"/>
      </w:pPr>
      <w:r>
        <w:t>Předpokládaný termín zahájení plnění veřejné zakázky:</w:t>
      </w:r>
      <w:r>
        <w:tab/>
      </w:r>
      <w:r w:rsidR="000F10D6">
        <w:rPr>
          <w:b/>
        </w:rPr>
        <w:t xml:space="preserve">po podpisu smlouvy o dílo, nejpozději </w:t>
      </w:r>
      <w:r w:rsidR="00175560">
        <w:rPr>
          <w:b/>
        </w:rPr>
        <w:t>1</w:t>
      </w:r>
      <w:r w:rsidR="00BB1417">
        <w:rPr>
          <w:b/>
        </w:rPr>
        <w:t xml:space="preserve">. </w:t>
      </w:r>
      <w:r w:rsidR="00175560">
        <w:rPr>
          <w:b/>
        </w:rPr>
        <w:t>9</w:t>
      </w:r>
      <w:r w:rsidR="000F10D6">
        <w:rPr>
          <w:b/>
        </w:rPr>
        <w:t>. 20</w:t>
      </w:r>
      <w:r w:rsidR="00C2434C">
        <w:rPr>
          <w:b/>
        </w:rPr>
        <w:t>2</w:t>
      </w:r>
      <w:r w:rsidR="00D80B00">
        <w:rPr>
          <w:b/>
        </w:rPr>
        <w:t>2</w:t>
      </w:r>
    </w:p>
    <w:p w:rsidR="00ED0622" w:rsidRDefault="00ED0622" w:rsidP="00C54592">
      <w:pPr>
        <w:ind w:left="5664" w:hanging="5664"/>
        <w:jc w:val="both"/>
      </w:pPr>
      <w:r>
        <w:t>Předpokládaný termín ukončení plnění veřejné zakázky:</w:t>
      </w:r>
      <w:r>
        <w:tab/>
      </w:r>
      <w:r w:rsidR="00D80B00">
        <w:rPr>
          <w:b/>
          <w:bCs/>
        </w:rPr>
        <w:t>3</w:t>
      </w:r>
      <w:r w:rsidR="00175560">
        <w:rPr>
          <w:b/>
          <w:bCs/>
        </w:rPr>
        <w:t>1</w:t>
      </w:r>
      <w:r w:rsidR="00C2434C" w:rsidRPr="00696144">
        <w:rPr>
          <w:b/>
        </w:rPr>
        <w:t xml:space="preserve">. </w:t>
      </w:r>
      <w:r w:rsidR="00175560">
        <w:rPr>
          <w:b/>
        </w:rPr>
        <w:t>12</w:t>
      </w:r>
      <w:r w:rsidR="00C2434C" w:rsidRPr="00696144">
        <w:rPr>
          <w:b/>
        </w:rPr>
        <w:t>. 202</w:t>
      </w:r>
      <w:r w:rsidR="00175560">
        <w:rPr>
          <w:b/>
        </w:rPr>
        <w:t>5</w:t>
      </w:r>
      <w:r w:rsidR="00C2434C">
        <w:rPr>
          <w:b/>
        </w:rPr>
        <w:t xml:space="preserve"> </w:t>
      </w:r>
    </w:p>
    <w:p w:rsidR="00ED0622" w:rsidRDefault="00ED0622" w:rsidP="00CA3877">
      <w:pPr>
        <w:jc w:val="both"/>
      </w:pPr>
      <w:r>
        <w:t xml:space="preserve">Termín zahájení plnění veřejné zakázky je podmíněn řádným ukončením </w:t>
      </w:r>
      <w:r w:rsidR="00F87740">
        <w:t>výběrového</w:t>
      </w:r>
      <w:r>
        <w:t xml:space="preserve"> říze</w:t>
      </w:r>
      <w:r w:rsidR="00075D27">
        <w:t xml:space="preserve">ní a podepsáním příslušné </w:t>
      </w:r>
      <w:r>
        <w:t>smlouvy</w:t>
      </w:r>
      <w:r w:rsidR="00075D27">
        <w:t xml:space="preserve"> o dílo</w:t>
      </w:r>
      <w:r>
        <w:t xml:space="preserve"> s</w:t>
      </w:r>
      <w:r w:rsidR="00E70BC2">
        <w:t>e zadavatelem.</w:t>
      </w:r>
    </w:p>
    <w:p w:rsidR="00ED0622" w:rsidRDefault="00ED0622" w:rsidP="00ED0622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13" w:name="_Toc12533889"/>
      <w:bookmarkStart w:id="14" w:name="_Toc101430458"/>
      <w:r>
        <w:t>Způsob zajištění plnění veřejné zakázky</w:t>
      </w:r>
      <w:bookmarkEnd w:id="13"/>
      <w:bookmarkEnd w:id="14"/>
    </w:p>
    <w:p w:rsidR="00FF1DBA" w:rsidRDefault="00FC5F05" w:rsidP="00CA3877">
      <w:pPr>
        <w:jc w:val="both"/>
      </w:pPr>
      <w:r>
        <w:t>Dodavatel</w:t>
      </w:r>
      <w:r w:rsidR="00ED0622" w:rsidRPr="00ED0622">
        <w:t xml:space="preserve"> v nabídce uvede, jakou část veřejné zakázky v procentech z celkové ceny díla má v úmyslu realizovat vlastními prostředky a jakou část veřejné zakázky v procentech má v úmyslu zadat jiným osobám. U těchto jiných osob bude uvedeno jméno, popřípadě název, sídlo, identifika</w:t>
      </w:r>
      <w:r>
        <w:t>ční číslo a specifikace plnění.</w:t>
      </w:r>
    </w:p>
    <w:p w:rsidR="00E31DB3" w:rsidRDefault="00E31DB3" w:rsidP="00E31DB3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15" w:name="_Toc34830872"/>
      <w:bookmarkStart w:id="16" w:name="_Toc101430459"/>
      <w:r>
        <w:t>Obchodní podmínky</w:t>
      </w:r>
      <w:bookmarkEnd w:id="15"/>
      <w:bookmarkEnd w:id="16"/>
    </w:p>
    <w:p w:rsidR="00E31DB3" w:rsidRDefault="00E31DB3" w:rsidP="00CA3877">
      <w:pPr>
        <w:jc w:val="both"/>
      </w:pPr>
      <w:r w:rsidRPr="00481C6C">
        <w:t>Zadavatel jako součást zadávací dokumentace předkládá obchodní podmínky. Obchodní podmínky stanovené pro veřejnou zakázku jsou</w:t>
      </w:r>
      <w:r>
        <w:t xml:space="preserve"> vymezeny ve formě návrhu </w:t>
      </w:r>
      <w:r w:rsidRPr="00481C6C">
        <w:t>smlouvy</w:t>
      </w:r>
      <w:r>
        <w:t xml:space="preserve"> </w:t>
      </w:r>
      <w:r w:rsidRPr="00481C6C">
        <w:t xml:space="preserve">dle ust. § </w:t>
      </w:r>
      <w:r w:rsidR="00175560">
        <w:t xml:space="preserve">1746 odst. 2 </w:t>
      </w:r>
      <w:r w:rsidRPr="00481C6C">
        <w:t>zákona č. 89/201</w:t>
      </w:r>
      <w:r>
        <w:t>2 Sb., občanský zákoník</w:t>
      </w:r>
      <w:r w:rsidR="00175560">
        <w:t>, ve znění pozdějších předpisů</w:t>
      </w:r>
      <w:r>
        <w:t>. Dodavatel</w:t>
      </w:r>
      <w:r w:rsidRPr="00481C6C">
        <w:t xml:space="preserve"> </w:t>
      </w:r>
      <w:r>
        <w:t>na základě</w:t>
      </w:r>
      <w:r w:rsidRPr="00481C6C">
        <w:t> obchodních podmínek doplní údaje nezbytné pro vznik návrhu smlouvy (zejména vlastní identifikaci a nabídkovou cenu</w:t>
      </w:r>
      <w:r>
        <w:t>,</w:t>
      </w:r>
      <w:r w:rsidRPr="00481C6C">
        <w:t xml:space="preserve"> popřípadě další údaje) a takto doplněné obchodní podmínky předloží </w:t>
      </w:r>
      <w:r>
        <w:t>ve formě podepsaného návrhu smlouvy o dílo jako součást nabídky</w:t>
      </w:r>
      <w:r w:rsidRPr="00481C6C">
        <w:t>.</w:t>
      </w:r>
      <w:r w:rsidRPr="00374254">
        <w:t xml:space="preserve"> </w:t>
      </w:r>
    </w:p>
    <w:p w:rsidR="00E31DB3" w:rsidRPr="00682A0B" w:rsidRDefault="00E31DB3" w:rsidP="00CA3877">
      <w:pPr>
        <w:jc w:val="both"/>
      </w:pPr>
      <w:r w:rsidRPr="00374254">
        <w:t>Obchodní</w:t>
      </w:r>
      <w:r>
        <w:t xml:space="preserve"> </w:t>
      </w:r>
      <w:r w:rsidRPr="00374254">
        <w:t>podmínky vymezují budoucí rámec sm</w:t>
      </w:r>
      <w:r>
        <w:t>luvního vztahu. Nabídka dodavatele</w:t>
      </w:r>
      <w:r w:rsidRPr="00374254">
        <w:t xml:space="preserve"> musí respektovat stanovené obchodní podmínky a v žádné části nesmí obsahovat ustanovení, které by bylo v rozporu s obchodními podmínkami a které by znevýhodňovalo zadavatele. </w:t>
      </w:r>
      <w:r>
        <w:t>Dodavatelé</w:t>
      </w:r>
      <w:r w:rsidRPr="00700224">
        <w:t xml:space="preserve"> nesmí obchodní podmínky měnit či jakkoliv doplňovat. </w:t>
      </w:r>
      <w:r>
        <w:t xml:space="preserve">V případě, že dodavatel </w:t>
      </w:r>
      <w:r w:rsidRPr="00682A0B">
        <w:t>vyplní, z</w:t>
      </w:r>
      <w:r>
        <w:t>mění či jinak upraví návrh</w:t>
      </w:r>
      <w:r w:rsidRPr="00682A0B">
        <w:t xml:space="preserve"> smlouvy</w:t>
      </w:r>
      <w:r>
        <w:t xml:space="preserve"> o dílo</w:t>
      </w:r>
      <w:r w:rsidRPr="00682A0B">
        <w:t>, než jak je umožněno za</w:t>
      </w:r>
      <w:r>
        <w:t>davatelem, bude nabídka dodavatele vyřazena a dodavatel</w:t>
      </w:r>
      <w:r w:rsidRPr="00682A0B">
        <w:t xml:space="preserve"> bude vyl</w:t>
      </w:r>
      <w:r>
        <w:t>oučen z další účasti výběrového</w:t>
      </w:r>
      <w:r w:rsidRPr="00682A0B">
        <w:t xml:space="preserve"> řízení. </w:t>
      </w:r>
    </w:p>
    <w:p w:rsidR="00E31DB3" w:rsidRPr="009C2F84" w:rsidRDefault="00E31DB3" w:rsidP="00CA3877">
      <w:pPr>
        <w:jc w:val="both"/>
      </w:pPr>
      <w:r>
        <w:t xml:space="preserve">Návrh </w:t>
      </w:r>
      <w:r w:rsidRPr="00682A0B">
        <w:t>sm</w:t>
      </w:r>
      <w:r>
        <w:t>louvy musí být ze strany dodavatele předmětu veřejné zakázky</w:t>
      </w:r>
      <w:r w:rsidRPr="00682A0B">
        <w:t xml:space="preserve"> podepsán statutárním orgánem nebo osobou k tomu statutárním orgánem zmocněnou </w:t>
      </w:r>
      <w:r>
        <w:t xml:space="preserve">nebo jinou oprávněnou osobou </w:t>
      </w:r>
      <w:r w:rsidRPr="00682A0B">
        <w:t xml:space="preserve">v souladu se </w:t>
      </w:r>
      <w:r>
        <w:t>způsobem jednání jménem dodavatele</w:t>
      </w:r>
      <w:r w:rsidRPr="00682A0B">
        <w:t>. Originál či úředně ověřená kopie zmocnění musí být v takovém případě součás</w:t>
      </w:r>
      <w:r>
        <w:t xml:space="preserve">tí návrhu smlouvy </w:t>
      </w:r>
      <w:r w:rsidRPr="00682A0B">
        <w:t>o veřejnou zakázku. Předlo</w:t>
      </w:r>
      <w:r>
        <w:t xml:space="preserve">žení nepodepsaného návrh </w:t>
      </w:r>
      <w:r w:rsidRPr="00682A0B">
        <w:t>smlouvy, popřípadě nepředložení zmocnění dle předchozí věty není předložením řádného návrhu po</w:t>
      </w:r>
      <w:r>
        <w:t>žadované smlouvy a dodavatel bude v takovém případě z výběrového řízení vyloučen</w:t>
      </w:r>
      <w:r w:rsidRPr="00682A0B">
        <w:t>.</w:t>
      </w:r>
    </w:p>
    <w:p w:rsidR="00123B09" w:rsidRPr="00DF336E" w:rsidRDefault="00123B09" w:rsidP="00123B09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17" w:name="_Toc19197792"/>
      <w:bookmarkStart w:id="18" w:name="_Toc101430460"/>
      <w:r>
        <w:t>Doklad o pojištění</w:t>
      </w:r>
      <w:bookmarkEnd w:id="17"/>
      <w:bookmarkEnd w:id="18"/>
    </w:p>
    <w:p w:rsidR="00123B09" w:rsidRPr="009C2F84" w:rsidRDefault="00123B09" w:rsidP="00CA3877">
      <w:pPr>
        <w:jc w:val="both"/>
      </w:pPr>
      <w:r w:rsidRPr="00BB4CA0">
        <w:t>Před podpisem smlouvy o dílo předloží účastník originál či úředně ověřenou platnou pojistnou smlouvu na odpovědnost za škodu způsobenou třetím osobám či potvrzení o tomto poj</w:t>
      </w:r>
      <w:r w:rsidR="004C488A" w:rsidRPr="00BB4CA0">
        <w:t xml:space="preserve">ištění na částku minimálně </w:t>
      </w:r>
      <w:r w:rsidR="00AB3377" w:rsidRPr="00BB4CA0">
        <w:t>1</w:t>
      </w:r>
      <w:r w:rsidR="004C488A" w:rsidRPr="00BB4CA0">
        <w:t xml:space="preserve"> 00</w:t>
      </w:r>
      <w:r w:rsidRPr="00BB4CA0">
        <w:t>0 000,-</w:t>
      </w:r>
      <w:r w:rsidR="00175560">
        <w:t xml:space="preserve"> </w:t>
      </w:r>
      <w:r w:rsidRPr="00BB4CA0">
        <w:t>Kč.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19" w:name="_Toc12533891"/>
      <w:bookmarkStart w:id="20" w:name="_Toc101430461"/>
      <w:r>
        <w:t xml:space="preserve">Ocenění </w:t>
      </w:r>
      <w:bookmarkEnd w:id="19"/>
      <w:bookmarkEnd w:id="20"/>
      <w:r w:rsidR="00175560">
        <w:t>zakázky</w:t>
      </w:r>
    </w:p>
    <w:p w:rsidR="002279F7" w:rsidRDefault="003419CD" w:rsidP="00CA3877">
      <w:pPr>
        <w:jc w:val="both"/>
      </w:pPr>
      <w:r>
        <w:t>Dodavatel</w:t>
      </w:r>
      <w:r w:rsidR="002279F7" w:rsidRPr="00075D27">
        <w:t xml:space="preserve"> prokáže tento požadavek zadavatele </w:t>
      </w:r>
      <w:r w:rsidR="00175560">
        <w:t>doplněním výše roční úplaty do čl. 3 smlouvy</w:t>
      </w:r>
      <w:r w:rsidR="002279F7" w:rsidRPr="00075D27">
        <w:t>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21" w:name="_Toc12533892"/>
      <w:bookmarkStart w:id="22" w:name="_Toc101430462"/>
      <w:r>
        <w:t>Požadavky na způsob zpracování cenové nabídky</w:t>
      </w:r>
      <w:bookmarkEnd w:id="21"/>
      <w:bookmarkEnd w:id="22"/>
    </w:p>
    <w:p w:rsidR="002279F7" w:rsidRPr="00B4173D" w:rsidRDefault="003419CD" w:rsidP="00CA3877">
      <w:pPr>
        <w:jc w:val="both"/>
        <w:rPr>
          <w:rFonts w:cstheme="minorHAnsi"/>
        </w:rPr>
      </w:pPr>
      <w:r>
        <w:rPr>
          <w:rFonts w:cstheme="minorHAnsi"/>
        </w:rPr>
        <w:t>Nabídkovou cenu stanoví dodavatel</w:t>
      </w:r>
      <w:r w:rsidR="002279F7" w:rsidRPr="00B4173D">
        <w:rPr>
          <w:rFonts w:cstheme="minorHAnsi"/>
        </w:rPr>
        <w:t xml:space="preserve"> na základě vymezení předmětu veře</w:t>
      </w:r>
      <w:r w:rsidR="00265C19">
        <w:rPr>
          <w:rFonts w:cstheme="minorHAnsi"/>
        </w:rPr>
        <w:t>jné zakázky, obsaženého v této z</w:t>
      </w:r>
      <w:r w:rsidR="002279F7" w:rsidRPr="00B4173D">
        <w:rPr>
          <w:rFonts w:cstheme="minorHAnsi"/>
        </w:rPr>
        <w:t xml:space="preserve">adávací dokumentaci, resp. v jejich přílohách. </w:t>
      </w:r>
    </w:p>
    <w:p w:rsidR="002279F7" w:rsidRPr="00B4173D" w:rsidRDefault="002279F7" w:rsidP="00CA3877">
      <w:pPr>
        <w:jc w:val="both"/>
        <w:rPr>
          <w:rFonts w:cstheme="minorHAnsi"/>
        </w:rPr>
      </w:pPr>
      <w:r w:rsidRPr="00B4173D">
        <w:rPr>
          <w:rFonts w:cstheme="minorHAnsi"/>
        </w:rPr>
        <w:t xml:space="preserve">Nabídková cena bude uvedena v české měně (Kč). </w:t>
      </w:r>
    </w:p>
    <w:p w:rsidR="002279F7" w:rsidRPr="00B4173D" w:rsidRDefault="002279F7" w:rsidP="00CA3877">
      <w:pPr>
        <w:jc w:val="both"/>
        <w:rPr>
          <w:rFonts w:eastAsia="MS Mincho" w:cstheme="minorHAnsi"/>
        </w:rPr>
      </w:pPr>
      <w:r w:rsidRPr="00075D27">
        <w:rPr>
          <w:rFonts w:eastAsia="MS Mincho" w:cstheme="minorHAnsi"/>
        </w:rPr>
        <w:t>Překročení nabídkové ceny je možné pouze za předpokladu</w:t>
      </w:r>
      <w:r w:rsidR="00265C19">
        <w:rPr>
          <w:rFonts w:eastAsia="MS Mincho" w:cstheme="minorHAnsi"/>
        </w:rPr>
        <w:t>, že v průběhu realizace</w:t>
      </w:r>
      <w:r w:rsidR="00175560">
        <w:rPr>
          <w:rFonts w:eastAsia="MS Mincho" w:cstheme="minorHAnsi"/>
        </w:rPr>
        <w:t xml:space="preserve"> veřejné zakázky</w:t>
      </w:r>
      <w:r w:rsidR="00265C19">
        <w:rPr>
          <w:rFonts w:eastAsia="MS Mincho" w:cstheme="minorHAnsi"/>
        </w:rPr>
        <w:t xml:space="preserve"> </w:t>
      </w:r>
      <w:r w:rsidRPr="00075D27">
        <w:rPr>
          <w:rFonts w:eastAsia="MS Mincho" w:cstheme="minorHAnsi"/>
        </w:rPr>
        <w:t>dojde ke změnám sazeb daně z přidané hodnoty. V takovém případě bude nabídková cena upravena podle sazeb daně z přidané hodnoty platných v době vzniku zdanitelného plnění.</w:t>
      </w:r>
      <w:r w:rsidRPr="00B4173D">
        <w:rPr>
          <w:rFonts w:eastAsia="MS Mincho" w:cstheme="minorHAnsi"/>
        </w:rPr>
        <w:t xml:space="preserve"> </w:t>
      </w:r>
    </w:p>
    <w:p w:rsidR="002279F7" w:rsidRPr="00175560" w:rsidRDefault="002279F7" w:rsidP="00175560">
      <w:pPr>
        <w:jc w:val="both"/>
        <w:rPr>
          <w:rFonts w:cstheme="minorHAnsi"/>
          <w:snapToGrid w:val="0"/>
        </w:rPr>
      </w:pPr>
      <w:r w:rsidRPr="00B4173D">
        <w:rPr>
          <w:rFonts w:cstheme="minorHAnsi"/>
          <w:snapToGrid w:val="0"/>
        </w:rPr>
        <w:t>Nabídková cena musí být zpracována jako cena maximál</w:t>
      </w:r>
      <w:r w:rsidR="003419CD">
        <w:rPr>
          <w:rFonts w:cstheme="minorHAnsi"/>
          <w:snapToGrid w:val="0"/>
        </w:rPr>
        <w:t xml:space="preserve">ní, platná po celou dobu realizace </w:t>
      </w:r>
      <w:r w:rsidR="00175560">
        <w:rPr>
          <w:rFonts w:cstheme="minorHAnsi"/>
          <w:snapToGrid w:val="0"/>
        </w:rPr>
        <w:t>služby</w:t>
      </w:r>
      <w:r w:rsidRPr="00B4173D">
        <w:rPr>
          <w:rFonts w:cstheme="minorHAnsi"/>
          <w:snapToGrid w:val="0"/>
        </w:rPr>
        <w:t>. Nabídková cena zahrnuje veškeré nutné nákl</w:t>
      </w:r>
      <w:r w:rsidR="003419CD">
        <w:rPr>
          <w:rFonts w:cstheme="minorHAnsi"/>
          <w:snapToGrid w:val="0"/>
        </w:rPr>
        <w:t>ady, jejichž vynaložení dodavatel</w:t>
      </w:r>
      <w:r w:rsidR="00175560">
        <w:rPr>
          <w:rFonts w:cstheme="minorHAnsi"/>
          <w:snapToGrid w:val="0"/>
        </w:rPr>
        <w:t xml:space="preserve"> předpokládá </w:t>
      </w:r>
      <w:r w:rsidRPr="00B4173D">
        <w:rPr>
          <w:rFonts w:cstheme="minorHAnsi"/>
          <w:snapToGrid w:val="0"/>
        </w:rPr>
        <w:t>při plnění veřejné zakázky, a to včetně dopr</w:t>
      </w:r>
      <w:r w:rsidR="003419CD">
        <w:rPr>
          <w:rFonts w:cstheme="minorHAnsi"/>
          <w:snapToGrid w:val="0"/>
        </w:rPr>
        <w:t>avy, pojištění při transportu,</w:t>
      </w:r>
      <w:r w:rsidR="00175560">
        <w:rPr>
          <w:rFonts w:cstheme="minorHAnsi"/>
          <w:snapToGrid w:val="0"/>
        </w:rPr>
        <w:t xml:space="preserve"> apod.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23" w:name="_Toc12533893"/>
      <w:bookmarkStart w:id="24" w:name="_Toc101430463"/>
      <w:r>
        <w:t>Platební podmínky</w:t>
      </w:r>
      <w:bookmarkEnd w:id="23"/>
      <w:bookmarkEnd w:id="24"/>
    </w:p>
    <w:p w:rsidR="002279F7" w:rsidRDefault="00175560" w:rsidP="00075D27">
      <w:pPr>
        <w:jc w:val="both"/>
      </w:pPr>
      <w:r>
        <w:rPr>
          <w:rFonts w:cstheme="minorHAnsi"/>
        </w:rPr>
        <w:t xml:space="preserve">Platební podmínky vyplývají </w:t>
      </w:r>
      <w:r>
        <w:t xml:space="preserve">z návrhu smlouvy, který je </w:t>
      </w:r>
      <w:r w:rsidRPr="000F10D6">
        <w:t xml:space="preserve">příloze č. </w:t>
      </w:r>
      <w:r w:rsidRPr="00175560">
        <w:t>3</w:t>
      </w:r>
      <w:r w:rsidRPr="000F10D6">
        <w:t xml:space="preserve"> </w:t>
      </w:r>
      <w:r>
        <w:t>součástí zadávací dokumentace</w:t>
      </w:r>
      <w:r w:rsidRPr="000F10D6">
        <w:t>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  <w:jc w:val="both"/>
      </w:pPr>
      <w:bookmarkStart w:id="25" w:name="_Toc12533894"/>
      <w:bookmarkStart w:id="26" w:name="_Toc101430464"/>
      <w:r>
        <w:t>Kvalitativní a technické požadavky</w:t>
      </w:r>
      <w:bookmarkEnd w:id="25"/>
      <w:bookmarkEnd w:id="26"/>
    </w:p>
    <w:p w:rsidR="002279F7" w:rsidRPr="00B4173D" w:rsidRDefault="00175560" w:rsidP="002279F7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Služba</w:t>
      </w:r>
      <w:r w:rsidR="00265C19">
        <w:rPr>
          <w:rFonts w:cstheme="minorHAnsi"/>
          <w:bCs/>
        </w:rPr>
        <w:t xml:space="preserve"> musí splňovat podmínky z</w:t>
      </w:r>
      <w:r w:rsidR="002279F7" w:rsidRPr="00B4173D">
        <w:rPr>
          <w:rFonts w:cstheme="minorHAnsi"/>
          <w:bCs/>
        </w:rPr>
        <w:t xml:space="preserve">adávací dokumentace a jejích příloh. </w:t>
      </w:r>
    </w:p>
    <w:p w:rsidR="002279F7" w:rsidRPr="00B4173D" w:rsidRDefault="002279F7" w:rsidP="002279F7">
      <w:pPr>
        <w:spacing w:after="120"/>
        <w:jc w:val="both"/>
        <w:rPr>
          <w:rFonts w:cstheme="minorHAnsi"/>
          <w:bCs/>
        </w:rPr>
      </w:pPr>
      <w:r w:rsidRPr="00B4173D">
        <w:rPr>
          <w:rFonts w:cstheme="minorHAnsi"/>
          <w:bCs/>
        </w:rPr>
        <w:t>Jedná se zejména o:</w:t>
      </w:r>
    </w:p>
    <w:p w:rsidR="002279F7" w:rsidRPr="00B4173D" w:rsidRDefault="00175560" w:rsidP="002279F7">
      <w:pPr>
        <w:pStyle w:val="Textpsmen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činnosti a jeho kvalitu</w:t>
      </w:r>
      <w:r w:rsidR="002279F7" w:rsidRPr="00B4173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279F7" w:rsidRPr="00B4173D" w:rsidRDefault="00175560" w:rsidP="002279F7">
      <w:pPr>
        <w:pStyle w:val="Textpsmen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Zajištění prodeje</w:t>
      </w:r>
      <w:r w:rsidR="002279F7" w:rsidRPr="00B4173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279F7" w:rsidRPr="00B4173D" w:rsidRDefault="00175560" w:rsidP="002279F7">
      <w:pPr>
        <w:pStyle w:val="Textpsmen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Přechod zaměstnanců</w:t>
      </w:r>
      <w:r w:rsidR="002279F7" w:rsidRPr="00B4173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279F7" w:rsidRPr="00A87603" w:rsidRDefault="00175560" w:rsidP="002279F7">
      <w:pPr>
        <w:pStyle w:val="Textpsmene"/>
        <w:numPr>
          <w:ilvl w:val="0"/>
          <w:numId w:val="4"/>
        </w:numPr>
      </w:pPr>
      <w:r>
        <w:rPr>
          <w:rFonts w:asciiTheme="minorHAnsi" w:hAnsiTheme="minorHAnsi" w:cstheme="minorHAnsi"/>
          <w:sz w:val="22"/>
          <w:szCs w:val="22"/>
        </w:rPr>
        <w:t>Zajištění účasti zadavatele v rozhodovacích orgánech dodavatele</w:t>
      </w:r>
      <w:r w:rsidR="002279F7" w:rsidRPr="00B4173D">
        <w:rPr>
          <w:rFonts w:asciiTheme="minorHAnsi" w:hAnsiTheme="minorHAnsi" w:cstheme="minorHAnsi"/>
          <w:sz w:val="22"/>
          <w:szCs w:val="22"/>
        </w:rPr>
        <w:t>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  <w:jc w:val="both"/>
      </w:pPr>
      <w:bookmarkStart w:id="27" w:name="_Toc12533895"/>
      <w:bookmarkStart w:id="28" w:name="_Toc101430465"/>
      <w:r>
        <w:t>Požadavky na prokázání kvalifikace</w:t>
      </w:r>
      <w:bookmarkEnd w:id="27"/>
      <w:bookmarkEnd w:id="28"/>
    </w:p>
    <w:p w:rsidR="00B27956" w:rsidRPr="004C139E" w:rsidRDefault="00265C19" w:rsidP="00B27956">
      <w:pPr>
        <w:jc w:val="both"/>
        <w:rPr>
          <w:snapToGrid w:val="0"/>
        </w:rPr>
      </w:pPr>
      <w:r>
        <w:rPr>
          <w:rFonts w:eastAsia="MS Mincho"/>
          <w:szCs w:val="18"/>
        </w:rPr>
        <w:t>Dodavatel</w:t>
      </w:r>
      <w:r w:rsidR="00B27956" w:rsidRPr="004C139E">
        <w:rPr>
          <w:rFonts w:eastAsia="MS Mincho"/>
          <w:szCs w:val="18"/>
        </w:rPr>
        <w:t xml:space="preserve"> je povinen nejpozději do lhůty stanovené pro podání nabídek prokázat svoji kvalifikaci. Splněním kvalifikace se rozumí:</w:t>
      </w:r>
    </w:p>
    <w:p w:rsidR="00B27956" w:rsidRPr="004C139E" w:rsidRDefault="00B27956" w:rsidP="00B27956">
      <w:pPr>
        <w:numPr>
          <w:ilvl w:val="0"/>
          <w:numId w:val="5"/>
        </w:numPr>
        <w:spacing w:after="0" w:line="240" w:lineRule="auto"/>
        <w:jc w:val="both"/>
      </w:pPr>
      <w:r w:rsidRPr="004C139E">
        <w:t>splnění základní způsobilosti;</w:t>
      </w:r>
    </w:p>
    <w:p w:rsidR="00B27956" w:rsidRPr="00955DAC" w:rsidRDefault="00B27956" w:rsidP="00B27956">
      <w:pPr>
        <w:numPr>
          <w:ilvl w:val="0"/>
          <w:numId w:val="5"/>
        </w:numPr>
        <w:spacing w:after="0" w:line="240" w:lineRule="auto"/>
        <w:jc w:val="both"/>
      </w:pPr>
      <w:r w:rsidRPr="00955DAC">
        <w:t>splnění profesních způsobilosti;</w:t>
      </w:r>
    </w:p>
    <w:p w:rsidR="00B27956" w:rsidRPr="00C25EDB" w:rsidRDefault="00B27956" w:rsidP="00B27956">
      <w:pPr>
        <w:numPr>
          <w:ilvl w:val="0"/>
          <w:numId w:val="5"/>
        </w:numPr>
        <w:spacing w:after="0" w:line="240" w:lineRule="auto"/>
        <w:jc w:val="both"/>
      </w:pPr>
      <w:r w:rsidRPr="00C25EDB">
        <w:t>splnění technické kvalifikace.</w:t>
      </w:r>
    </w:p>
    <w:p w:rsidR="00B27956" w:rsidRPr="00DD7113" w:rsidRDefault="00B27956" w:rsidP="00B27956">
      <w:pPr>
        <w:spacing w:after="0" w:line="240" w:lineRule="auto"/>
        <w:jc w:val="both"/>
        <w:rPr>
          <w:highlight w:val="yellow"/>
        </w:rPr>
      </w:pPr>
    </w:p>
    <w:p w:rsidR="002279F7" w:rsidRPr="00CA3877" w:rsidRDefault="00B27956" w:rsidP="00B27956">
      <w:pPr>
        <w:jc w:val="both"/>
        <w:rPr>
          <w:rFonts w:cstheme="minorHAnsi"/>
          <w:color w:val="000000"/>
        </w:rPr>
      </w:pPr>
      <w:r w:rsidRPr="00AC3E04">
        <w:t>Doklady o kvalifikaci předkládají dodavatelé v nabídkách v kopiích</w:t>
      </w:r>
      <w:r w:rsidRPr="00AC3E04">
        <w:rPr>
          <w:rFonts w:cstheme="minorHAnsi"/>
        </w:rPr>
        <w:t>.</w:t>
      </w:r>
      <w:r w:rsidRPr="00AC3E04">
        <w:rPr>
          <w:rFonts w:cstheme="minorHAnsi"/>
          <w:color w:val="000000"/>
        </w:rPr>
        <w:t xml:space="preserve"> Zada</w:t>
      </w:r>
      <w:r>
        <w:rPr>
          <w:rFonts w:cstheme="minorHAnsi"/>
          <w:color w:val="000000"/>
        </w:rPr>
        <w:t>vatel si může v průběhu výběrové</w:t>
      </w:r>
      <w:r w:rsidRPr="00AC3E04">
        <w:rPr>
          <w:rFonts w:cstheme="minorHAnsi"/>
          <w:color w:val="000000"/>
        </w:rPr>
        <w:t>ho řízení vyžádat předložení originálů nebo úředně ověřených kopií dokladů o kvalifikaci</w:t>
      </w:r>
      <w:r w:rsidR="002279F7" w:rsidRPr="00851C80">
        <w:t>.</w:t>
      </w:r>
    </w:p>
    <w:p w:rsidR="002279F7" w:rsidRDefault="002279F7" w:rsidP="00CA3877">
      <w:pPr>
        <w:pStyle w:val="Nadpis2"/>
        <w:numPr>
          <w:ilvl w:val="0"/>
          <w:numId w:val="13"/>
        </w:numPr>
        <w:spacing w:before="0"/>
        <w:ind w:left="357" w:hanging="357"/>
      </w:pPr>
      <w:bookmarkStart w:id="29" w:name="_Toc12533896"/>
      <w:bookmarkStart w:id="30" w:name="_Toc101430466"/>
      <w:r>
        <w:t>Základní způsobilost</w:t>
      </w:r>
      <w:bookmarkEnd w:id="29"/>
      <w:bookmarkEnd w:id="30"/>
    </w:p>
    <w:p w:rsidR="002279F7" w:rsidRPr="00B27956" w:rsidRDefault="00B27956" w:rsidP="00CA3877">
      <w:pPr>
        <w:jc w:val="both"/>
        <w:rPr>
          <w:color w:val="000000"/>
        </w:rPr>
      </w:pPr>
      <w:r>
        <w:t>Dodavatel, se kterým má být uzavřena smlouva,</w:t>
      </w:r>
      <w:r w:rsidRPr="005A5E17">
        <w:t xml:space="preserve"> je povi</w:t>
      </w:r>
      <w:r>
        <w:t xml:space="preserve">nen prokázat splnění základní způsobilosti </w:t>
      </w:r>
      <w:r w:rsidR="0022540B">
        <w:t xml:space="preserve">předložením podepsaného </w:t>
      </w:r>
      <w:r w:rsidR="00D74CD8">
        <w:rPr>
          <w:bCs/>
        </w:rPr>
        <w:t>č</w:t>
      </w:r>
      <w:r w:rsidRPr="00B27956">
        <w:rPr>
          <w:bCs/>
        </w:rPr>
        <w:t xml:space="preserve">estného prohlášení </w:t>
      </w:r>
      <w:r w:rsidRPr="00807AD7">
        <w:rPr>
          <w:bCs/>
        </w:rPr>
        <w:t>(</w:t>
      </w:r>
      <w:r w:rsidR="0022540B">
        <w:rPr>
          <w:bCs/>
        </w:rPr>
        <w:t xml:space="preserve">viz </w:t>
      </w:r>
      <w:r w:rsidRPr="00807AD7">
        <w:rPr>
          <w:bCs/>
        </w:rPr>
        <w:t xml:space="preserve">Příloha č. 2 </w:t>
      </w:r>
      <w:r w:rsidR="00D74CD8" w:rsidRPr="00807AD7">
        <w:rPr>
          <w:bCs/>
        </w:rPr>
        <w:t>z</w:t>
      </w:r>
      <w:r w:rsidRPr="00807AD7">
        <w:rPr>
          <w:bCs/>
        </w:rPr>
        <w:t>adávací dokumentace)</w:t>
      </w:r>
      <w:r w:rsidR="002279F7" w:rsidRPr="00807AD7">
        <w:rPr>
          <w:color w:val="000000"/>
        </w:rPr>
        <w:t>.</w:t>
      </w:r>
      <w:r w:rsidR="002279F7" w:rsidRPr="00B27956">
        <w:rPr>
          <w:color w:val="000000"/>
        </w:rPr>
        <w:t xml:space="preserve">    </w:t>
      </w:r>
    </w:p>
    <w:p w:rsidR="002279F7" w:rsidRDefault="002279F7" w:rsidP="00CA3877">
      <w:pPr>
        <w:pStyle w:val="Nadpis2"/>
        <w:numPr>
          <w:ilvl w:val="0"/>
          <w:numId w:val="13"/>
        </w:numPr>
        <w:ind w:left="357" w:hanging="357"/>
      </w:pPr>
      <w:bookmarkStart w:id="31" w:name="_Toc12533897"/>
      <w:bookmarkStart w:id="32" w:name="_Toc101430467"/>
      <w:r>
        <w:t>Profesní způsobilost</w:t>
      </w:r>
      <w:bookmarkEnd w:id="31"/>
      <w:bookmarkEnd w:id="32"/>
    </w:p>
    <w:p w:rsidR="00B27956" w:rsidRPr="00697BAF" w:rsidRDefault="00B27956" w:rsidP="00CA3877">
      <w:pPr>
        <w:shd w:val="clear" w:color="auto" w:fill="FFFFFF"/>
        <w:jc w:val="both"/>
      </w:pPr>
      <w:r w:rsidRPr="00374254">
        <w:t>Zadav</w:t>
      </w:r>
      <w:r>
        <w:t>atel požaduje splnění profesní způsobilosti</w:t>
      </w:r>
      <w:r w:rsidR="0022540B">
        <w:t xml:space="preserve"> dodavatele s tím, </w:t>
      </w:r>
      <w:r w:rsidRPr="00374254">
        <w:t>že požadavky splňuje dodavatel</w:t>
      </w:r>
      <w:r>
        <w:t>,</w:t>
      </w:r>
      <w:r w:rsidRPr="00374254">
        <w:t xml:space="preserve"> který předloží:</w:t>
      </w:r>
    </w:p>
    <w:p w:rsidR="00B27956" w:rsidRDefault="00B27956" w:rsidP="00CA3877">
      <w:pPr>
        <w:pStyle w:val="Odstavecseseznamem"/>
        <w:numPr>
          <w:ilvl w:val="0"/>
          <w:numId w:val="21"/>
        </w:numPr>
        <w:jc w:val="both"/>
      </w:pPr>
      <w:r w:rsidRPr="00697BAF">
        <w:t>výpis z obchodního rejstříku nebo jiné obdobné evidence,</w:t>
      </w:r>
      <w:r w:rsidRPr="00374254">
        <w:t xml:space="preserve"> pokud </w:t>
      </w:r>
      <w:r>
        <w:t xml:space="preserve">jiný právní předpis zápis do takové evidence vyžaduje. </w:t>
      </w:r>
    </w:p>
    <w:p w:rsidR="002279F7" w:rsidRDefault="00B27956" w:rsidP="00CA3877">
      <w:pPr>
        <w:pStyle w:val="Odstavecseseznamem"/>
        <w:numPr>
          <w:ilvl w:val="0"/>
          <w:numId w:val="21"/>
        </w:numPr>
        <w:jc w:val="both"/>
      </w:pPr>
      <w:r w:rsidRPr="00697BAF">
        <w:t>doklad o oprávnění k podnikání podle zvláštních</w:t>
      </w:r>
      <w:r w:rsidRPr="00374254">
        <w:t xml:space="preserve"> právních předpisů v rozsahu odpovíd</w:t>
      </w:r>
      <w:r>
        <w:t>ajícím předmětu veřejné zakázky, pokud jiné právní předpisy takové oprávnění vyžadují</w:t>
      </w:r>
      <w:r w:rsidR="002279F7">
        <w:t>.</w:t>
      </w:r>
    </w:p>
    <w:p w:rsidR="002279F7" w:rsidRPr="00357119" w:rsidRDefault="002279F7" w:rsidP="00CA3877">
      <w:pPr>
        <w:pStyle w:val="Nadpis2"/>
        <w:numPr>
          <w:ilvl w:val="0"/>
          <w:numId w:val="13"/>
        </w:numPr>
        <w:ind w:left="357" w:hanging="357"/>
      </w:pPr>
      <w:bookmarkStart w:id="33" w:name="_Toc12533898"/>
      <w:bookmarkStart w:id="34" w:name="_Toc101430468"/>
      <w:r w:rsidRPr="00357119">
        <w:t>Technická kvalifikace</w:t>
      </w:r>
      <w:bookmarkEnd w:id="33"/>
      <w:bookmarkEnd w:id="34"/>
    </w:p>
    <w:p w:rsidR="002279F7" w:rsidRPr="00D43C2B" w:rsidRDefault="00EE0B45" w:rsidP="00CA3877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357119">
        <w:t xml:space="preserve">Zadavatel požaduje, aby dodavatel prokázal splnění kritéria technické kvalifikace pro předmět veřejné zakázky </w:t>
      </w:r>
      <w:r w:rsidRPr="0022540B">
        <w:rPr>
          <w:b/>
        </w:rPr>
        <w:t xml:space="preserve">předložením </w:t>
      </w:r>
      <w:r w:rsidR="00BE2B26" w:rsidRPr="00D43C2B">
        <w:rPr>
          <w:b/>
          <w:bCs/>
        </w:rPr>
        <w:t xml:space="preserve">alespoň </w:t>
      </w:r>
      <w:r w:rsidR="004F6A77">
        <w:rPr>
          <w:b/>
          <w:bCs/>
        </w:rPr>
        <w:t>1</w:t>
      </w:r>
      <w:r w:rsidR="003A1CD4" w:rsidRPr="00D43C2B">
        <w:rPr>
          <w:b/>
          <w:bCs/>
        </w:rPr>
        <w:t xml:space="preserve"> </w:t>
      </w:r>
      <w:r w:rsidR="004F6A77">
        <w:rPr>
          <w:b/>
          <w:bCs/>
        </w:rPr>
        <w:t>referenční služby</w:t>
      </w:r>
      <w:r w:rsidR="007709E4" w:rsidRPr="00D43C2B">
        <w:rPr>
          <w:b/>
          <w:bCs/>
        </w:rPr>
        <w:t>, kter</w:t>
      </w:r>
      <w:r w:rsidR="004F6A77">
        <w:rPr>
          <w:b/>
          <w:bCs/>
        </w:rPr>
        <w:t>á</w:t>
      </w:r>
      <w:r w:rsidR="007709E4" w:rsidRPr="00D43C2B">
        <w:rPr>
          <w:b/>
          <w:bCs/>
        </w:rPr>
        <w:t xml:space="preserve"> by</w:t>
      </w:r>
      <w:r w:rsidR="004F6A77">
        <w:rPr>
          <w:b/>
          <w:bCs/>
        </w:rPr>
        <w:t xml:space="preserve"> byla </w:t>
      </w:r>
      <w:r w:rsidR="007709E4" w:rsidRPr="00D43C2B">
        <w:rPr>
          <w:b/>
          <w:bCs/>
        </w:rPr>
        <w:t>obdobn</w:t>
      </w:r>
      <w:r w:rsidR="004F6A77">
        <w:rPr>
          <w:b/>
          <w:bCs/>
        </w:rPr>
        <w:t>á</w:t>
      </w:r>
      <w:r w:rsidR="007709E4" w:rsidRPr="00D43C2B">
        <w:rPr>
          <w:b/>
          <w:bCs/>
        </w:rPr>
        <w:t xml:space="preserve"> předmětu této veřejné zakázky</w:t>
      </w:r>
      <w:r w:rsidR="008F159E" w:rsidRPr="00D43C2B">
        <w:rPr>
          <w:b/>
          <w:bCs/>
        </w:rPr>
        <w:t xml:space="preserve"> </w:t>
      </w:r>
      <w:r w:rsidR="00FC1FA8" w:rsidRPr="00D43C2B">
        <w:rPr>
          <w:b/>
          <w:bCs/>
        </w:rPr>
        <w:t>a ceny</w:t>
      </w:r>
      <w:r w:rsidR="00D43C2B" w:rsidRPr="00D43C2B">
        <w:rPr>
          <w:b/>
          <w:bCs/>
        </w:rPr>
        <w:t>, a byly dodavatelem realizován</w:t>
      </w:r>
      <w:r w:rsidR="004F6A77">
        <w:rPr>
          <w:b/>
          <w:bCs/>
        </w:rPr>
        <w:t>a</w:t>
      </w:r>
      <w:r w:rsidR="00D43C2B" w:rsidRPr="00D43C2B">
        <w:rPr>
          <w:b/>
          <w:bCs/>
        </w:rPr>
        <w:t xml:space="preserve"> v období posledních </w:t>
      </w:r>
      <w:r w:rsidR="004F6A77">
        <w:rPr>
          <w:b/>
          <w:bCs/>
        </w:rPr>
        <w:t>3</w:t>
      </w:r>
      <w:r w:rsidR="00D43C2B" w:rsidRPr="00D43C2B">
        <w:rPr>
          <w:b/>
          <w:bCs/>
        </w:rPr>
        <w:t xml:space="preserve"> let</w:t>
      </w:r>
      <w:r w:rsidR="007709E4" w:rsidRPr="00D43C2B">
        <w:rPr>
          <w:b/>
          <w:bCs/>
        </w:rPr>
        <w:t>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35" w:name="_Toc12533899"/>
      <w:bookmarkStart w:id="36" w:name="_Toc101430469"/>
      <w:r w:rsidRPr="007E0368">
        <w:t>Pokyny pro zpracování nabídky</w:t>
      </w:r>
      <w:bookmarkEnd w:id="35"/>
      <w:bookmarkEnd w:id="36"/>
    </w:p>
    <w:p w:rsidR="002279F7" w:rsidRPr="00374254" w:rsidRDefault="002279F7" w:rsidP="00CA3877">
      <w:pPr>
        <w:jc w:val="both"/>
      </w:pPr>
      <w:r w:rsidRPr="00374254">
        <w:t xml:space="preserve">Pod pojmem nabídka se rozumí </w:t>
      </w:r>
      <w:r w:rsidR="000D0ECA">
        <w:t xml:space="preserve">soubor veškerých dokumentů a dokladů požadovaných zadavatelem v zadávacích podmínkách. </w:t>
      </w:r>
      <w:r w:rsidRPr="00374254">
        <w:t>Součástí nabídky jsou i doklady a informace prokazující splnění kvalifikace</w:t>
      </w:r>
      <w:r w:rsidR="000D0ECA">
        <w:t xml:space="preserve"> a návrh smlouvy podepsaný osobou oprávněnou za dodavatele jednat</w:t>
      </w:r>
      <w:r w:rsidRPr="00374254">
        <w:t>. Nabídka a</w:t>
      </w:r>
      <w:r>
        <w:t> </w:t>
      </w:r>
      <w:r w:rsidRPr="00374254">
        <w:t>veškeré ostatní doklady a údaje budou uvedeny v českém jazy</w:t>
      </w:r>
      <w:r>
        <w:t>ce</w:t>
      </w:r>
      <w:r w:rsidRPr="00374254">
        <w:t xml:space="preserve"> v písemné formě a nabídka bude podepsána osobou </w:t>
      </w:r>
      <w:r w:rsidR="00B5311D">
        <w:t>oprávněnou za dodavatele</w:t>
      </w:r>
      <w:r>
        <w:t xml:space="preserve"> jednat a </w:t>
      </w:r>
      <w:r w:rsidRPr="00374254">
        <w:t>podepisovat podle výpisu z Obchodního rejstříku, popřípadě statutárním orgánem zmocněnou osobou, jejíž plná moc musí být součástí nabídky</w:t>
      </w:r>
      <w:r w:rsidR="00B5311D">
        <w:t xml:space="preserve"> nebo jinou oprávněnou osobou</w:t>
      </w:r>
      <w:r w:rsidRPr="00374254">
        <w:t xml:space="preserve">. </w:t>
      </w:r>
      <w:r>
        <w:t xml:space="preserve">Zadavatel nepřipouští </w:t>
      </w:r>
      <w:r w:rsidRPr="008A4E33">
        <w:t>varian</w:t>
      </w:r>
      <w:r>
        <w:t xml:space="preserve">tní nabídky. </w:t>
      </w:r>
    </w:p>
    <w:p w:rsidR="004F6A77" w:rsidRDefault="00B5311D" w:rsidP="00CA3877">
      <w:pPr>
        <w:jc w:val="both"/>
      </w:pPr>
      <w:r>
        <w:t>Nabídka dodavatele</w:t>
      </w:r>
      <w:r w:rsidR="002279F7" w:rsidRPr="00374254">
        <w:t xml:space="preserve"> může být podána </w:t>
      </w:r>
      <w:r w:rsidR="004F6A77">
        <w:t>v</w:t>
      </w:r>
      <w:r w:rsidR="002279F7" w:rsidRPr="00374254">
        <w:t> jednom svazku, písemně a v </w:t>
      </w:r>
      <w:r w:rsidR="002279F7" w:rsidRPr="00374254">
        <w:rPr>
          <w:bCs/>
        </w:rPr>
        <w:t>jedné</w:t>
      </w:r>
      <w:r w:rsidR="002279F7" w:rsidRPr="00374254">
        <w:rPr>
          <w:b/>
          <w:bCs/>
        </w:rPr>
        <w:t xml:space="preserve"> </w:t>
      </w:r>
      <w:r w:rsidR="002279F7" w:rsidRPr="00374254">
        <w:t>uzavřené obálce ozna</w:t>
      </w:r>
      <w:r w:rsidR="002279F7">
        <w:t>čené názvem veřejné zakázky, na </w:t>
      </w:r>
      <w:r w:rsidR="002279F7" w:rsidRPr="00374254">
        <w:t>které musí být uvedena</w:t>
      </w:r>
      <w:r>
        <w:t xml:space="preserve"> adresa dodavatele</w:t>
      </w:r>
      <w:r w:rsidR="002279F7" w:rsidRPr="00A70A63">
        <w:t xml:space="preserve">. </w:t>
      </w:r>
      <w:r w:rsidR="002279F7" w:rsidRPr="00662975">
        <w:t xml:space="preserve">Nabídka bude předložena </w:t>
      </w:r>
      <w:r w:rsidR="000D0ECA">
        <w:t>v jednom tištěném vyhotovení</w:t>
      </w:r>
      <w:r w:rsidR="002279F7">
        <w:t xml:space="preserve">. </w:t>
      </w:r>
    </w:p>
    <w:p w:rsidR="002279F7" w:rsidRDefault="002279F7" w:rsidP="00CA3877">
      <w:pPr>
        <w:jc w:val="both"/>
      </w:pPr>
      <w:r>
        <w:t>Obálka bude označena nápisem:</w:t>
      </w:r>
    </w:p>
    <w:p w:rsidR="002279F7" w:rsidRPr="00A70A63" w:rsidRDefault="002279F7" w:rsidP="00CA3877">
      <w:pPr>
        <w:jc w:val="center"/>
      </w:pPr>
      <w:r w:rsidRPr="00A70A63">
        <w:t>„NEOTVÍRAT – VEŘEJNÁ ZAKÁZKA</w:t>
      </w:r>
    </w:p>
    <w:p w:rsidR="00A76F74" w:rsidRPr="00E914F3" w:rsidRDefault="004F6A77" w:rsidP="00A76F74">
      <w:pPr>
        <w:spacing w:after="120"/>
        <w:jc w:val="center"/>
        <w:rPr>
          <w:sz w:val="28"/>
          <w:szCs w:val="28"/>
        </w:rPr>
      </w:pPr>
      <w:r w:rsidRPr="004F6A77">
        <w:rPr>
          <w:b/>
          <w:sz w:val="28"/>
          <w:szCs w:val="28"/>
        </w:rPr>
        <w:t>„Zajištění provozu Muzea papírových modelů Police nad Metují“</w:t>
      </w:r>
    </w:p>
    <w:p w:rsidR="004F6A77" w:rsidRDefault="004F6A77" w:rsidP="000D0ECA">
      <w:pPr>
        <w:jc w:val="both"/>
      </w:pPr>
    </w:p>
    <w:p w:rsidR="002279F7" w:rsidRPr="00374254" w:rsidRDefault="002279F7" w:rsidP="000D0ECA">
      <w:pPr>
        <w:jc w:val="both"/>
      </w:pPr>
      <w:r w:rsidRPr="00374254">
        <w:t>Nabídka musí obsahovat</w:t>
      </w:r>
      <w:r>
        <w:t xml:space="preserve">: </w:t>
      </w:r>
    </w:p>
    <w:p w:rsidR="002279F7" w:rsidRPr="00374254" w:rsidRDefault="002279F7" w:rsidP="000D0ECA">
      <w:pPr>
        <w:numPr>
          <w:ilvl w:val="2"/>
          <w:numId w:val="9"/>
        </w:numPr>
        <w:tabs>
          <w:tab w:val="clear" w:pos="2520"/>
        </w:tabs>
        <w:spacing w:after="0"/>
        <w:ind w:left="720" w:hanging="720"/>
        <w:jc w:val="both"/>
      </w:pPr>
      <w:r>
        <w:rPr>
          <w:snapToGrid w:val="0"/>
        </w:rPr>
        <w:t>v</w:t>
      </w:r>
      <w:r w:rsidRPr="00374254">
        <w:rPr>
          <w:snapToGrid w:val="0"/>
        </w:rPr>
        <w:t xml:space="preserve">yplněný formulář </w:t>
      </w:r>
      <w:r w:rsidRPr="00A70A63">
        <w:rPr>
          <w:snapToGrid w:val="0"/>
        </w:rPr>
        <w:t>"K</w:t>
      </w:r>
      <w:r>
        <w:rPr>
          <w:snapToGrid w:val="0"/>
        </w:rPr>
        <w:t>rycí list nabídky</w:t>
      </w:r>
      <w:r w:rsidRPr="00A70A63">
        <w:rPr>
          <w:snapToGrid w:val="0"/>
        </w:rPr>
        <w:t xml:space="preserve">" </w:t>
      </w:r>
      <w:r w:rsidRPr="00374254">
        <w:rPr>
          <w:bCs/>
          <w:snapToGrid w:val="0"/>
        </w:rPr>
        <w:t>obsahu</w:t>
      </w:r>
      <w:r w:rsidR="00B5311D">
        <w:rPr>
          <w:bCs/>
          <w:snapToGrid w:val="0"/>
        </w:rPr>
        <w:t>jící identifikační údaje dodavatel</w:t>
      </w:r>
      <w:r w:rsidRPr="00374254">
        <w:rPr>
          <w:bCs/>
          <w:snapToGrid w:val="0"/>
        </w:rPr>
        <w:t>e,</w:t>
      </w:r>
      <w:r w:rsidRPr="00374254">
        <w:rPr>
          <w:b/>
          <w:snapToGrid w:val="0"/>
        </w:rPr>
        <w:t xml:space="preserve"> </w:t>
      </w:r>
      <w:r w:rsidRPr="00374254">
        <w:rPr>
          <w:snapToGrid w:val="0"/>
        </w:rPr>
        <w:t>opatřený razítkem a podpise</w:t>
      </w:r>
      <w:r w:rsidR="00B5311D">
        <w:rPr>
          <w:snapToGrid w:val="0"/>
        </w:rPr>
        <w:t>m oprávněné osoby (osob) dodavatel</w:t>
      </w:r>
      <w:r w:rsidRPr="00374254">
        <w:rPr>
          <w:snapToGrid w:val="0"/>
        </w:rPr>
        <w:t>e v souladu se způsobem podepisování uvedeným ve výpise z Obchodního rejstříku nebo zástupcem zmocněným k tomuto úkonu podle právních předpisů (plná moc pak musí být součástí nabídky, ul</w:t>
      </w:r>
      <w:r w:rsidR="00B5311D">
        <w:rPr>
          <w:snapToGrid w:val="0"/>
        </w:rPr>
        <w:t xml:space="preserve">ožená za krycím listem nabídky) nebo jinou oprávněnou osobou, </w:t>
      </w:r>
      <w:r w:rsidRPr="00374254">
        <w:rPr>
          <w:snapToGrid w:val="0"/>
        </w:rPr>
        <w:t xml:space="preserve"> </w:t>
      </w:r>
    </w:p>
    <w:p w:rsidR="002279F7" w:rsidRDefault="002279F7" w:rsidP="000D0ECA">
      <w:pPr>
        <w:numPr>
          <w:ilvl w:val="2"/>
          <w:numId w:val="9"/>
        </w:numPr>
        <w:tabs>
          <w:tab w:val="clear" w:pos="2520"/>
        </w:tabs>
        <w:spacing w:after="0"/>
        <w:ind w:left="720" w:hanging="720"/>
        <w:jc w:val="both"/>
      </w:pPr>
      <w:r>
        <w:t>n</w:t>
      </w:r>
      <w:r w:rsidRPr="00374254">
        <w:t xml:space="preserve">ávrh smlouvy </w:t>
      </w:r>
      <w:r w:rsidR="00C54592">
        <w:t>podepsaný</w:t>
      </w:r>
      <w:r w:rsidR="00B5311D">
        <w:t xml:space="preserve"> osobou oprávněnou za dodavatel</w:t>
      </w:r>
      <w:r w:rsidRPr="00374254">
        <w:t>e jednat a</w:t>
      </w:r>
      <w:r>
        <w:t> </w:t>
      </w:r>
      <w:r w:rsidRPr="00374254">
        <w:t>podepisovat v souladu se způsobem podepisování uvedeným ve výpise z Obchodního rej</w:t>
      </w:r>
      <w:r w:rsidR="00B5311D">
        <w:t>stříku, popřípadě zmocněncem dodavatel</w:t>
      </w:r>
      <w:r>
        <w:t>e</w:t>
      </w:r>
      <w:r w:rsidR="00B5311D">
        <w:t xml:space="preserve"> nebo jinou oprávněnou osobou</w:t>
      </w:r>
      <w:r>
        <w:t xml:space="preserve"> a opatřen otiskem razítka,</w:t>
      </w:r>
      <w:r w:rsidRPr="00374254">
        <w:t xml:space="preserve"> </w:t>
      </w:r>
    </w:p>
    <w:p w:rsidR="002279F7" w:rsidRPr="00082489" w:rsidRDefault="002279F7" w:rsidP="000D0ECA">
      <w:pPr>
        <w:numPr>
          <w:ilvl w:val="2"/>
          <w:numId w:val="9"/>
        </w:numPr>
        <w:tabs>
          <w:tab w:val="clear" w:pos="2520"/>
        </w:tabs>
        <w:spacing w:after="0"/>
        <w:ind w:left="720" w:hanging="720"/>
        <w:jc w:val="both"/>
      </w:pPr>
      <w:r>
        <w:rPr>
          <w:bCs/>
        </w:rPr>
        <w:t>č</w:t>
      </w:r>
      <w:r w:rsidRPr="0024467E">
        <w:rPr>
          <w:bCs/>
        </w:rPr>
        <w:t>estné prohlášení</w:t>
      </w:r>
      <w:r w:rsidR="00454E16">
        <w:rPr>
          <w:bCs/>
        </w:rPr>
        <w:t xml:space="preserve"> </w:t>
      </w:r>
      <w:r w:rsidR="005B7520">
        <w:rPr>
          <w:bCs/>
        </w:rPr>
        <w:t>o splnění základní způsobilosti</w:t>
      </w:r>
      <w:r>
        <w:rPr>
          <w:bCs/>
        </w:rPr>
        <w:t>,</w:t>
      </w:r>
      <w:r w:rsidRPr="0024467E">
        <w:rPr>
          <w:bCs/>
        </w:rPr>
        <w:t xml:space="preserve">  </w:t>
      </w:r>
    </w:p>
    <w:p w:rsidR="002279F7" w:rsidRPr="00A70A63" w:rsidRDefault="002279F7" w:rsidP="000D0ECA">
      <w:pPr>
        <w:numPr>
          <w:ilvl w:val="2"/>
          <w:numId w:val="9"/>
        </w:numPr>
        <w:tabs>
          <w:tab w:val="clear" w:pos="2520"/>
        </w:tabs>
        <w:spacing w:after="0"/>
        <w:ind w:left="720" w:hanging="720"/>
        <w:jc w:val="both"/>
      </w:pPr>
      <w:r>
        <w:rPr>
          <w:bCs/>
        </w:rPr>
        <w:t>d</w:t>
      </w:r>
      <w:r w:rsidRPr="00082489">
        <w:rPr>
          <w:bCs/>
        </w:rPr>
        <w:t>oklady prokazující</w:t>
      </w:r>
      <w:r>
        <w:rPr>
          <w:bCs/>
        </w:rPr>
        <w:t xml:space="preserve"> splnění profesní způsobilost,</w:t>
      </w:r>
      <w:r w:rsidRPr="00082489">
        <w:rPr>
          <w:bCs/>
        </w:rPr>
        <w:t xml:space="preserve"> </w:t>
      </w:r>
    </w:p>
    <w:p w:rsidR="002279F7" w:rsidRPr="00851C80" w:rsidRDefault="002279F7" w:rsidP="004F6A77">
      <w:pPr>
        <w:numPr>
          <w:ilvl w:val="2"/>
          <w:numId w:val="9"/>
        </w:numPr>
        <w:tabs>
          <w:tab w:val="clear" w:pos="2520"/>
        </w:tabs>
        <w:spacing w:after="0"/>
        <w:ind w:left="720" w:hanging="720"/>
        <w:jc w:val="both"/>
      </w:pPr>
      <w:r>
        <w:rPr>
          <w:bCs/>
        </w:rPr>
        <w:t>d</w:t>
      </w:r>
      <w:r w:rsidRPr="00082489">
        <w:rPr>
          <w:bCs/>
        </w:rPr>
        <w:t>oklady</w:t>
      </w:r>
      <w:r>
        <w:rPr>
          <w:bCs/>
        </w:rPr>
        <w:t xml:space="preserve"> prokazující</w:t>
      </w:r>
      <w:r w:rsidR="004F6A77">
        <w:rPr>
          <w:bCs/>
        </w:rPr>
        <w:t xml:space="preserve"> splnění technickou kvalifikaci</w:t>
      </w:r>
      <w:r w:rsidRPr="00851C80">
        <w:t>.</w:t>
      </w:r>
    </w:p>
    <w:p w:rsidR="002279F7" w:rsidRDefault="002279F7" w:rsidP="002279F7">
      <w:pPr>
        <w:spacing w:after="0" w:line="240" w:lineRule="auto"/>
        <w:jc w:val="both"/>
      </w:pP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37" w:name="_Toc12533900"/>
      <w:bookmarkStart w:id="38" w:name="_Toc101430470"/>
      <w:r>
        <w:t>Kritérium hodnocení</w:t>
      </w:r>
      <w:bookmarkEnd w:id="37"/>
      <w:bookmarkEnd w:id="38"/>
    </w:p>
    <w:p w:rsidR="002279F7" w:rsidRDefault="002279F7" w:rsidP="002279F7">
      <w:pPr>
        <w:spacing w:line="360" w:lineRule="auto"/>
        <w:jc w:val="both"/>
      </w:pPr>
      <w:r>
        <w:t>Základním kritériem pro hodnocení nabídek v rámci této veřejné zakázky je:</w:t>
      </w:r>
    </w:p>
    <w:p w:rsidR="002279F7" w:rsidRPr="00290A5C" w:rsidRDefault="000A53C3" w:rsidP="00742DA6">
      <w:pPr>
        <w:pStyle w:val="Odstavecseseznamem"/>
        <w:numPr>
          <w:ilvl w:val="0"/>
          <w:numId w:val="10"/>
        </w:numPr>
        <w:spacing w:after="120" w:line="480" w:lineRule="auto"/>
        <w:ind w:left="714" w:hanging="357"/>
        <w:jc w:val="both"/>
        <w:rPr>
          <w:b/>
        </w:rPr>
      </w:pPr>
      <w:r w:rsidRPr="00290A5C">
        <w:rPr>
          <w:b/>
        </w:rPr>
        <w:t xml:space="preserve">nejnižší </w:t>
      </w:r>
      <w:r w:rsidR="002279F7" w:rsidRPr="00290A5C">
        <w:rPr>
          <w:b/>
          <w:spacing w:val="8"/>
        </w:rPr>
        <w:t>cena</w:t>
      </w:r>
      <w:r w:rsidR="004F6A77">
        <w:rPr>
          <w:b/>
          <w:spacing w:val="8"/>
        </w:rPr>
        <w:t xml:space="preserve"> roční úplaty</w:t>
      </w:r>
      <w:r w:rsidR="002279F7" w:rsidRPr="00290A5C">
        <w:rPr>
          <w:b/>
          <w:spacing w:val="8"/>
        </w:rPr>
        <w:t>, váha kritéria je 100</w:t>
      </w:r>
      <w:r w:rsidR="00D95C8D">
        <w:rPr>
          <w:b/>
          <w:spacing w:val="8"/>
        </w:rPr>
        <w:t xml:space="preserve"> </w:t>
      </w:r>
      <w:r w:rsidR="002279F7" w:rsidRPr="00290A5C">
        <w:rPr>
          <w:b/>
          <w:spacing w:val="8"/>
        </w:rPr>
        <w:t>%.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39" w:name="_Toc12533901"/>
      <w:bookmarkStart w:id="40" w:name="_Toc101430471"/>
      <w:r>
        <w:t>Metoda hodnocení nabídek</w:t>
      </w:r>
      <w:bookmarkEnd w:id="39"/>
      <w:bookmarkEnd w:id="40"/>
    </w:p>
    <w:p w:rsidR="002279F7" w:rsidRDefault="002279F7" w:rsidP="000D0ECA">
      <w:pPr>
        <w:jc w:val="both"/>
      </w:pPr>
      <w:r>
        <w:t xml:space="preserve">Nabídky budou hodnoceny podle jejich ekonomické výhodnosti. Zadavatel bude jejich ekonomickou výhodnost hodnotit podle nejnižší nabídkové ceny. Jako nejvýhodnější nabídka bude vybrána nabídka s nejnižší nabídkovou </w:t>
      </w:r>
      <w:r w:rsidR="008F3B10">
        <w:t>cenou. Váha kritéria činí 100</w:t>
      </w:r>
      <w:r w:rsidR="00D95C8D">
        <w:t xml:space="preserve"> </w:t>
      </w:r>
      <w:r w:rsidR="008F3B10">
        <w:t>%.</w:t>
      </w:r>
    </w:p>
    <w:p w:rsidR="00655ABB" w:rsidRDefault="00655ABB" w:rsidP="00F05F54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41" w:name="_Toc101430472"/>
      <w:r>
        <w:t>Mimořádně nízká nabídková cena</w:t>
      </w:r>
      <w:bookmarkEnd w:id="41"/>
    </w:p>
    <w:p w:rsidR="008F3B10" w:rsidRDefault="00655ABB" w:rsidP="00655ABB">
      <w:pPr>
        <w:spacing w:line="360" w:lineRule="auto"/>
        <w:jc w:val="both"/>
      </w:pPr>
      <w:r>
        <w:t>Zadavatel se bude zaobírat problematikou mimořádně nízké nabídkové ceny.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  <w:jc w:val="both"/>
      </w:pPr>
      <w:bookmarkStart w:id="42" w:name="_Toc12533903"/>
      <w:bookmarkStart w:id="43" w:name="_Toc101430473"/>
      <w:r>
        <w:t>Lhůta a místo pro podání nabídek, otevírání obálek</w:t>
      </w:r>
      <w:bookmarkEnd w:id="42"/>
      <w:bookmarkEnd w:id="43"/>
    </w:p>
    <w:p w:rsidR="00B5311D" w:rsidRDefault="00B5311D" w:rsidP="000D0ECA">
      <w:pPr>
        <w:jc w:val="both"/>
      </w:pPr>
      <w:r>
        <w:t>Nabídky se přijímají v sídle zadavatele na adrese Město Police nad Metují, Masarykovo náměstí 98, 549 54 Police nad Metují, a to do konce lhůty pro podání nabídek. Nabídku je možné podat osobně či zaslat poštou.</w:t>
      </w:r>
    </w:p>
    <w:p w:rsidR="00B5311D" w:rsidRDefault="00B5311D" w:rsidP="000D0ECA">
      <w:pPr>
        <w:jc w:val="both"/>
      </w:pPr>
      <w:r>
        <w:t xml:space="preserve">Nabídky je možné doručovat osobně na </w:t>
      </w:r>
      <w:r w:rsidRPr="00613583">
        <w:t>sekretariát (2. patro, dveře č. 28),</w:t>
      </w:r>
      <w:r>
        <w:t xml:space="preserve"> a to každý den od 08:00 do 14:00 hodin.</w:t>
      </w:r>
    </w:p>
    <w:p w:rsidR="00B5311D" w:rsidRDefault="00B5311D" w:rsidP="000D0ECA">
      <w:pPr>
        <w:jc w:val="both"/>
      </w:pPr>
      <w:r>
        <w:t>Lhů</w:t>
      </w:r>
      <w:r w:rsidR="00290A5C">
        <w:t xml:space="preserve">ta pro podání nabídek končí: </w:t>
      </w:r>
      <w:r w:rsidR="00C2434C">
        <w:rPr>
          <w:b/>
        </w:rPr>
        <w:t>v</w:t>
      </w:r>
      <w:r w:rsidR="00080224">
        <w:rPr>
          <w:b/>
        </w:rPr>
        <w:t>e</w:t>
      </w:r>
      <w:r w:rsidR="00C2434C">
        <w:rPr>
          <w:b/>
        </w:rPr>
        <w:t> </w:t>
      </w:r>
      <w:r w:rsidR="00F81020">
        <w:rPr>
          <w:b/>
        </w:rPr>
        <w:t>čtvrtek</w:t>
      </w:r>
      <w:r w:rsidR="00080224">
        <w:rPr>
          <w:b/>
        </w:rPr>
        <w:t xml:space="preserve"> </w:t>
      </w:r>
      <w:r w:rsidR="004F6A77">
        <w:rPr>
          <w:b/>
        </w:rPr>
        <w:t>21</w:t>
      </w:r>
      <w:r w:rsidR="00C2434C">
        <w:rPr>
          <w:b/>
        </w:rPr>
        <w:t xml:space="preserve">. </w:t>
      </w:r>
      <w:r w:rsidR="00FD3832">
        <w:rPr>
          <w:b/>
        </w:rPr>
        <w:t>července</w:t>
      </w:r>
      <w:r w:rsidR="00C2434C">
        <w:rPr>
          <w:b/>
        </w:rPr>
        <w:t xml:space="preserve"> 202</w:t>
      </w:r>
      <w:r w:rsidR="00080224">
        <w:rPr>
          <w:b/>
        </w:rPr>
        <w:t>2</w:t>
      </w:r>
      <w:r w:rsidR="00C2434C">
        <w:rPr>
          <w:b/>
        </w:rPr>
        <w:t xml:space="preserve"> v 10.</w:t>
      </w:r>
      <w:r w:rsidR="000D0ECA">
        <w:rPr>
          <w:b/>
        </w:rPr>
        <w:t>3</w:t>
      </w:r>
      <w:r w:rsidR="00C2434C">
        <w:rPr>
          <w:b/>
        </w:rPr>
        <w:t>0 hodin</w:t>
      </w:r>
      <w:r w:rsidR="004F6A77">
        <w:rPr>
          <w:b/>
        </w:rPr>
        <w:t>.</w:t>
      </w:r>
    </w:p>
    <w:p w:rsidR="002279F7" w:rsidRDefault="00B5311D" w:rsidP="000D0ECA">
      <w:pPr>
        <w:autoSpaceDE w:val="0"/>
        <w:autoSpaceDN w:val="0"/>
        <w:adjustRightInd w:val="0"/>
        <w:jc w:val="both"/>
      </w:pPr>
      <w:r>
        <w:t xml:space="preserve">Pro dodavatele, kteří podali nabídku, je otevírání obálek veřejné, přičemž procesu otevírání obálek se může zúčastnit jedna oprávněná osoba za dodavatele, který podal nabídku. Otevírání obálek se uskuteční dne </w:t>
      </w:r>
      <w:r w:rsidR="004F6A77">
        <w:t>21</w:t>
      </w:r>
      <w:r w:rsidR="00C2434C">
        <w:t xml:space="preserve">. </w:t>
      </w:r>
      <w:r w:rsidR="004F6A77">
        <w:t>7</w:t>
      </w:r>
      <w:r w:rsidR="00C2434C">
        <w:t>. 202</w:t>
      </w:r>
      <w:r w:rsidR="00080224">
        <w:t>2</w:t>
      </w:r>
      <w:r w:rsidR="00C2434C">
        <w:t xml:space="preserve"> v 10.</w:t>
      </w:r>
      <w:r w:rsidR="000D0ECA">
        <w:t>35</w:t>
      </w:r>
      <w:r w:rsidR="00C2434C">
        <w:t xml:space="preserve"> hodin v sídle zadavatele</w:t>
      </w:r>
      <w:r w:rsidR="002279F7">
        <w:t>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  <w:jc w:val="both"/>
      </w:pPr>
      <w:bookmarkStart w:id="44" w:name="_Toc12533904"/>
      <w:bookmarkStart w:id="45" w:name="_Toc101430474"/>
      <w:r>
        <w:t>Zadávací lhůta</w:t>
      </w:r>
      <w:bookmarkEnd w:id="44"/>
      <w:bookmarkEnd w:id="45"/>
    </w:p>
    <w:p w:rsidR="002279F7" w:rsidRDefault="002279F7" w:rsidP="000D0ECA">
      <w:pPr>
        <w:autoSpaceDE w:val="0"/>
        <w:autoSpaceDN w:val="0"/>
        <w:adjustRightInd w:val="0"/>
        <w:jc w:val="both"/>
      </w:pPr>
      <w:r>
        <w:t xml:space="preserve">Zadávací lhůtou je lhůta, po kterou účastníci </w:t>
      </w:r>
      <w:r w:rsidR="006F06FC">
        <w:t>výběrového</w:t>
      </w:r>
      <w:r>
        <w:t xml:space="preserve"> řízení nesmí </w:t>
      </w:r>
      <w:r w:rsidR="006F06FC">
        <w:t>z výběrového</w:t>
      </w:r>
      <w:r>
        <w:t xml:space="preserve"> řízení odstoupit. </w:t>
      </w:r>
      <w:r w:rsidRPr="00F16BF7">
        <w:t>Zadávací lhůta činí 60 dní.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  <w:jc w:val="both"/>
      </w:pPr>
      <w:bookmarkStart w:id="46" w:name="_Toc12533905"/>
      <w:bookmarkStart w:id="47" w:name="_Toc101430475"/>
      <w:r>
        <w:t>Vysvětlení zadávacích podmínek</w:t>
      </w:r>
      <w:bookmarkEnd w:id="46"/>
      <w:bookmarkEnd w:id="47"/>
    </w:p>
    <w:p w:rsidR="002279F7" w:rsidRPr="001D527B" w:rsidRDefault="001E5BD0" w:rsidP="000D0EC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E5BD0">
        <w:rPr>
          <w:rFonts w:cstheme="minorHAnsi"/>
          <w:color w:val="000000"/>
        </w:rPr>
        <w:t xml:space="preserve">Dodavatel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 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 </w:t>
      </w:r>
    </w:p>
    <w:p w:rsidR="006440F8" w:rsidRPr="00016A6E" w:rsidRDefault="006440F8" w:rsidP="00F05F54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48" w:name="_Toc101430476"/>
      <w:r w:rsidRPr="00016A6E">
        <w:t>Finanční kontroly ze strany kontrolních subjektů</w:t>
      </w:r>
      <w:bookmarkEnd w:id="48"/>
    </w:p>
    <w:p w:rsidR="0045559A" w:rsidRDefault="006440F8" w:rsidP="000D0ECA">
      <w:pPr>
        <w:pStyle w:val="Styl1"/>
        <w:spacing w:after="200" w:line="276" w:lineRule="auto"/>
        <w:ind w:right="-6"/>
        <w:jc w:val="both"/>
        <w:rPr>
          <w:szCs w:val="22"/>
        </w:rPr>
      </w:pPr>
      <w:r w:rsidRPr="00016A6E">
        <w:rPr>
          <w:rFonts w:asciiTheme="minorHAnsi" w:hAnsiTheme="minorHAnsi" w:cstheme="minorHAnsi"/>
          <w:szCs w:val="22"/>
        </w:rPr>
        <w:t>Dodavatel (účastník) je osobou povinnou spolupůsobit při výkonu finanční kontroly dle § 2 písm. e) zákona č. 320/2001 Sb., o finanční kontrole ve veřejné správě, v platném znění. Dodavatel (účastník) je povinen umožnit přístup osobám pověřeným zadavatel</w:t>
      </w:r>
      <w:r w:rsidR="00DA47E4" w:rsidRPr="00016A6E">
        <w:rPr>
          <w:rFonts w:asciiTheme="minorHAnsi" w:hAnsiTheme="minorHAnsi" w:cstheme="minorHAnsi"/>
          <w:szCs w:val="22"/>
        </w:rPr>
        <w:t>em</w:t>
      </w:r>
      <w:r w:rsidRPr="00016A6E">
        <w:rPr>
          <w:rFonts w:asciiTheme="minorHAnsi" w:hAnsiTheme="minorHAnsi" w:cstheme="minorHAnsi"/>
          <w:szCs w:val="22"/>
        </w:rPr>
        <w:t xml:space="preserve"> i k těm částem nabídek, smluv a souvisejících dokumentů, které podléhají ochraně podle zvláštních právních předpisů (např. jako obchodní tajemství, utajované </w:t>
      </w:r>
      <w:r w:rsidR="00B62CAD" w:rsidRPr="00016A6E">
        <w:rPr>
          <w:rFonts w:asciiTheme="minorHAnsi" w:hAnsiTheme="minorHAnsi" w:cstheme="minorHAnsi"/>
          <w:szCs w:val="22"/>
        </w:rPr>
        <w:t>skutečnosti</w:t>
      </w:r>
      <w:r w:rsidRPr="00016A6E">
        <w:rPr>
          <w:rFonts w:asciiTheme="minorHAnsi" w:hAnsiTheme="minorHAnsi" w:cstheme="minorHAnsi"/>
          <w:szCs w:val="22"/>
        </w:rPr>
        <w:t xml:space="preserve"> apod.) za předpokladu, že budou splněny poža</w:t>
      </w:r>
      <w:r w:rsidR="00EF6B25" w:rsidRPr="00016A6E">
        <w:rPr>
          <w:rFonts w:asciiTheme="minorHAnsi" w:hAnsiTheme="minorHAnsi" w:cstheme="minorHAnsi"/>
          <w:szCs w:val="22"/>
        </w:rPr>
        <w:t>davky kladené právními předpisy</w:t>
      </w:r>
      <w:r w:rsidRPr="00016A6E">
        <w:rPr>
          <w:rFonts w:asciiTheme="minorHAnsi" w:hAnsiTheme="minorHAnsi" w:cstheme="minorHAnsi"/>
          <w:szCs w:val="22"/>
        </w:rPr>
        <w:t>. Vybraný dodavatel je dále povinen archivovat dokumentaci spojenou s plněním předmětu veřejné zakázky od podpisu smlouvy oběma smluvními stranami až do lhůty 10 let od ukončení plnění předmětu veřejné zakázky</w:t>
      </w:r>
      <w:r w:rsidRPr="00016A6E">
        <w:rPr>
          <w:szCs w:val="22"/>
        </w:rPr>
        <w:t>.</w:t>
      </w:r>
    </w:p>
    <w:p w:rsidR="0045559A" w:rsidRPr="00ED39F2" w:rsidRDefault="00720C20" w:rsidP="0045559A">
      <w:pPr>
        <w:pStyle w:val="Nadpis2"/>
        <w:numPr>
          <w:ilvl w:val="0"/>
          <w:numId w:val="1"/>
        </w:numPr>
        <w:spacing w:line="480" w:lineRule="auto"/>
        <w:ind w:left="0" w:hanging="357"/>
        <w:rPr>
          <w:b w:val="0"/>
        </w:rPr>
      </w:pPr>
      <w:bookmarkStart w:id="49" w:name="_Toc101430477"/>
      <w:r w:rsidRPr="00ED39F2">
        <w:t>Vyhrazené změny závazku</w:t>
      </w:r>
      <w:bookmarkEnd w:id="49"/>
    </w:p>
    <w:p w:rsidR="00B62CAD" w:rsidRDefault="0045559A" w:rsidP="000D0ECA">
      <w:pPr>
        <w:jc w:val="both"/>
      </w:pPr>
      <w:r w:rsidRPr="00ED39F2">
        <w:t>V návaznosti na § 100 zákona č. 134/2016 Sb., o zadávání veřejných zakázek, ve znění pozdějších předpisů, si zadavatel vyhrazuje právo na změnu závazku ze smlouvy na veřejnou zakázku s tím, že případné změny závazku se mohou týkat pouze</w:t>
      </w:r>
      <w:r w:rsidR="004F6A77">
        <w:t xml:space="preserve"> rozsahu provozu muzea, otevíracích hodin či množství doprovodných akcí</w:t>
      </w:r>
      <w:r w:rsidRPr="00ED39F2">
        <w:t>, se kterými nebylo možné na základě skutečností známých v době zadání veřejné zakázky předem počítat.</w:t>
      </w:r>
    </w:p>
    <w:p w:rsidR="004C269A" w:rsidRPr="004C269A" w:rsidRDefault="004C269A" w:rsidP="000D0ECA">
      <w:pPr>
        <w:jc w:val="both"/>
        <w:rPr>
          <w:color w:val="FF0000"/>
        </w:rPr>
      </w:pPr>
      <w:r w:rsidRPr="004F6A77">
        <w:t xml:space="preserve">Zadavatel si pak dále v návaznosti § 100 zákona č. 134/2016 Sb., o zadávání veřejných zakázek, ve znění pozdějších předpisů vyhrazuje právo zúžit předmět veřejné zakázky upuštěním od realizace samostatné části zakázky označené jako „b)“ </w:t>
      </w:r>
      <w:r w:rsidRPr="004F6A77">
        <w:rPr>
          <w:rFonts w:cstheme="minorHAnsi"/>
        </w:rPr>
        <w:t xml:space="preserve">v případě, kdy se v době před zahájením stavebních prací na této části ukáže </w:t>
      </w:r>
      <w:r w:rsidRPr="004F6A77">
        <w:rPr>
          <w:rFonts w:cstheme="minorHAnsi"/>
          <w:iCs/>
        </w:rPr>
        <w:t>vývoj příjmů a výdajů rozpočtu města jiný, než jaký byl předpokládán v době schvalovaní rozpočtu města na rok 2022, a to z hlediska zhoršení celkové bilance rozpočtu, kdy by ve spojení s plněním smlouvy o dílo mohlo na straně zadavatele dojít ke zvýšení celkového schodku rozpočtu města nad úroveň schválenou zastupitelstvem města při schvalování rozpočtu.</w:t>
      </w:r>
      <w:r w:rsidRPr="004C269A">
        <w:rPr>
          <w:rFonts w:cstheme="minorHAnsi"/>
          <w:iCs/>
          <w:color w:val="FF0000"/>
        </w:rPr>
        <w:t xml:space="preserve"> 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50" w:name="_Toc12533906"/>
      <w:bookmarkStart w:id="51" w:name="_Toc101430478"/>
      <w:r>
        <w:t>Vyhrazená práva zadavatele</w:t>
      </w:r>
      <w:bookmarkEnd w:id="50"/>
      <w:bookmarkEnd w:id="51"/>
    </w:p>
    <w:p w:rsidR="002279F7" w:rsidRDefault="002279F7" w:rsidP="000D0ECA">
      <w:pPr>
        <w:jc w:val="both"/>
      </w:pPr>
      <w:r>
        <w:t>Zadavatel si vyhrazuje právo:</w:t>
      </w:r>
    </w:p>
    <w:p w:rsidR="002279F7" w:rsidRDefault="006F06FC" w:rsidP="000D0ECA">
      <w:pPr>
        <w:pStyle w:val="Odstavecseseznamem"/>
        <w:numPr>
          <w:ilvl w:val="0"/>
          <w:numId w:val="11"/>
        </w:numPr>
        <w:ind w:left="714" w:hanging="357"/>
        <w:jc w:val="both"/>
      </w:pPr>
      <w:r>
        <w:t xml:space="preserve">kdykoliv zrušit veřejnou zakázku </w:t>
      </w:r>
      <w:r w:rsidR="004F6A77">
        <w:t xml:space="preserve">na koncesi </w:t>
      </w:r>
      <w:r>
        <w:t>malého rozsahu bez udání důvodů</w:t>
      </w:r>
      <w:r w:rsidR="002279F7">
        <w:t>,</w:t>
      </w:r>
      <w:r w:rsidR="00861BCB">
        <w:t xml:space="preserve"> nejpozději však do uzavření smlouvy</w:t>
      </w:r>
      <w:r w:rsidR="006E56F3">
        <w:t>;</w:t>
      </w:r>
    </w:p>
    <w:p w:rsidR="002279F7" w:rsidRDefault="002279F7" w:rsidP="000D0ECA">
      <w:pPr>
        <w:pStyle w:val="Odstavecseseznamem"/>
        <w:numPr>
          <w:ilvl w:val="0"/>
          <w:numId w:val="11"/>
        </w:numPr>
        <w:ind w:left="714" w:hanging="357"/>
        <w:jc w:val="both"/>
      </w:pPr>
      <w:r>
        <w:t>dále jednat o konečném znění smlouvy v částech, které n</w:t>
      </w:r>
      <w:r w:rsidR="006F06FC">
        <w:t>ebyly předmětem soutěže dodavatelů</w:t>
      </w:r>
      <w:r>
        <w:t>, a které nejsou hlavními náležitostmi smlouvy</w:t>
      </w:r>
      <w:r w:rsidR="006E56F3">
        <w:t>;</w:t>
      </w:r>
      <w:r w:rsidR="006E56F3">
        <w:tab/>
      </w:r>
    </w:p>
    <w:p w:rsidR="002279F7" w:rsidRDefault="002279F7" w:rsidP="000D0ECA">
      <w:pPr>
        <w:pStyle w:val="Odstavecseseznamem"/>
        <w:numPr>
          <w:ilvl w:val="0"/>
          <w:numId w:val="11"/>
        </w:numPr>
        <w:ind w:left="714" w:hanging="357"/>
        <w:jc w:val="both"/>
      </w:pPr>
      <w:r>
        <w:t xml:space="preserve">měnit nebo doplňovat text </w:t>
      </w:r>
      <w:r w:rsidR="004F6A77">
        <w:t>zadávací dokumentace</w:t>
      </w:r>
      <w:r>
        <w:t xml:space="preserve"> nejpozději 3 dny před skončením lhůty pro podání nabídek</w:t>
      </w:r>
      <w:r w:rsidR="004F6A77">
        <w:t>.</w:t>
      </w:r>
    </w:p>
    <w:p w:rsidR="002279F7" w:rsidRDefault="002279F7" w:rsidP="000D0ECA">
      <w:r>
        <w:t>Zadavatel nepřiznává zájemci právo na náhra</w:t>
      </w:r>
      <w:r w:rsidR="006F06FC">
        <w:t>du nákladů spojených s účastí ve výbě</w:t>
      </w:r>
      <w:r w:rsidR="00B529C3">
        <w:t>r</w:t>
      </w:r>
      <w:r w:rsidR="006F06FC">
        <w:t>ovém</w:t>
      </w:r>
      <w:r>
        <w:t xml:space="preserve"> řízení.</w:t>
      </w:r>
    </w:p>
    <w:p w:rsidR="002279F7" w:rsidRDefault="009A516B" w:rsidP="000D0ECA">
      <w:r>
        <w:t xml:space="preserve">Dodavatel může podat ve výběrovém </w:t>
      </w:r>
      <w:r w:rsidR="002279F7" w:rsidRPr="00E7163B">
        <w:t>řízení pouze jednu nabídku</w:t>
      </w:r>
      <w:r w:rsidR="002279F7">
        <w:t>.</w:t>
      </w:r>
    </w:p>
    <w:p w:rsidR="002279F7" w:rsidRDefault="002279F7" w:rsidP="000D0ECA">
      <w:pPr>
        <w:spacing w:after="0"/>
        <w:jc w:val="both"/>
      </w:pPr>
      <w:r w:rsidRPr="00E7163B">
        <w:t>Nesplnění podmíne</w:t>
      </w:r>
      <w:r w:rsidR="009A516B">
        <w:t>k zadání či neúplnost nabídky může být</w:t>
      </w:r>
      <w:r w:rsidRPr="00E7163B">
        <w:t xml:space="preserve"> důvodem k vyřazení nabídky</w:t>
      </w:r>
      <w:r w:rsidR="009A516B">
        <w:t xml:space="preserve"> z hodnocení a vyloučení dodavatele z další účasti ve výběrovém </w:t>
      </w:r>
      <w:r w:rsidRPr="00E7163B">
        <w:t>řízení.</w:t>
      </w:r>
    </w:p>
    <w:p w:rsidR="002279F7" w:rsidRDefault="002279F7" w:rsidP="002279F7">
      <w:pPr>
        <w:pStyle w:val="Nadpis2"/>
        <w:numPr>
          <w:ilvl w:val="0"/>
          <w:numId w:val="1"/>
        </w:numPr>
        <w:spacing w:line="480" w:lineRule="auto"/>
        <w:ind w:left="0" w:hanging="357"/>
      </w:pPr>
      <w:bookmarkStart w:id="52" w:name="_Toc12533907"/>
      <w:bookmarkStart w:id="53" w:name="_Toc101430479"/>
      <w:r>
        <w:t>Přílohy zadávací dokumentace</w:t>
      </w:r>
      <w:bookmarkEnd w:id="52"/>
      <w:bookmarkEnd w:id="53"/>
    </w:p>
    <w:p w:rsidR="002279F7" w:rsidRDefault="002279F7" w:rsidP="000D0ECA">
      <w:pPr>
        <w:tabs>
          <w:tab w:val="left" w:pos="2880"/>
        </w:tabs>
        <w:spacing w:after="0"/>
      </w:pPr>
      <w:r>
        <w:t>Příloha č. 1 – Krycí list nabídky</w:t>
      </w:r>
    </w:p>
    <w:p w:rsidR="00AC4DA8" w:rsidRPr="00F614B8" w:rsidRDefault="002279F7" w:rsidP="000D0ECA">
      <w:pPr>
        <w:tabs>
          <w:tab w:val="left" w:pos="2880"/>
        </w:tabs>
        <w:spacing w:after="0"/>
        <w:rPr>
          <w:snapToGrid w:val="0"/>
        </w:rPr>
      </w:pPr>
      <w:r>
        <w:t xml:space="preserve">Příloha č. 2 – </w:t>
      </w:r>
      <w:r w:rsidR="00AD65EC">
        <w:rPr>
          <w:snapToGrid w:val="0"/>
        </w:rPr>
        <w:t xml:space="preserve">Čestné prohlášení </w:t>
      </w:r>
      <w:r w:rsidR="00EA3127">
        <w:rPr>
          <w:snapToGrid w:val="0"/>
        </w:rPr>
        <w:t>o splnění základní způsobilosti</w:t>
      </w:r>
    </w:p>
    <w:p w:rsidR="004F6A77" w:rsidRDefault="00BA1201" w:rsidP="004F6A77">
      <w:pPr>
        <w:tabs>
          <w:tab w:val="left" w:pos="2880"/>
        </w:tabs>
        <w:spacing w:after="0"/>
      </w:pPr>
      <w:r>
        <w:t xml:space="preserve">Příloha č. </w:t>
      </w:r>
      <w:r w:rsidR="00F614B8">
        <w:t>3</w:t>
      </w:r>
      <w:r w:rsidR="002279F7">
        <w:t xml:space="preserve"> – </w:t>
      </w:r>
      <w:r w:rsidR="004F6A77">
        <w:t>Návrh smlouvy</w:t>
      </w:r>
    </w:p>
    <w:p w:rsidR="001D527B" w:rsidRDefault="001D527B" w:rsidP="000D0ECA">
      <w:pPr>
        <w:spacing w:after="0"/>
      </w:pPr>
    </w:p>
    <w:p w:rsidR="000D0ECA" w:rsidRDefault="000D0ECA" w:rsidP="002279F7"/>
    <w:p w:rsidR="002279F7" w:rsidRDefault="002279F7" w:rsidP="002279F7">
      <w:r>
        <w:t xml:space="preserve">V Polici nad Metují dne </w:t>
      </w:r>
      <w:r w:rsidR="004F6A77">
        <w:t>1</w:t>
      </w:r>
      <w:r w:rsidR="00520DF1">
        <w:t>1</w:t>
      </w:r>
      <w:r w:rsidR="00B72BC7">
        <w:t xml:space="preserve">. </w:t>
      </w:r>
      <w:r w:rsidR="004F6A77">
        <w:t>července</w:t>
      </w:r>
      <w:r w:rsidR="00B72BC7">
        <w:t xml:space="preserve"> 20</w:t>
      </w:r>
      <w:r w:rsidR="00C2434C">
        <w:t>2</w:t>
      </w:r>
      <w:r w:rsidR="001D42BC">
        <w:t>2</w:t>
      </w:r>
    </w:p>
    <w:p w:rsidR="00C2434C" w:rsidRDefault="00C2434C" w:rsidP="002279F7"/>
    <w:p w:rsidR="002279F7" w:rsidRDefault="002279F7" w:rsidP="002279F7">
      <w:pPr>
        <w:jc w:val="right"/>
      </w:pPr>
      <w:r>
        <w:t>……………………</w:t>
      </w:r>
      <w:r w:rsidR="00B72BC7">
        <w:t>………….</w:t>
      </w:r>
      <w:r>
        <w:t>….…………………………………</w:t>
      </w:r>
    </w:p>
    <w:p w:rsidR="002279F7" w:rsidRPr="00607867" w:rsidRDefault="00C2434C" w:rsidP="00A63AF6">
      <w:pPr>
        <w:jc w:val="right"/>
      </w:pPr>
      <w:r>
        <w:t>Ing. Jiří Beran, starosta</w:t>
      </w:r>
      <w:r w:rsidR="002279F7">
        <w:tab/>
      </w:r>
      <w:r w:rsidR="002279F7">
        <w:tab/>
      </w:r>
    </w:p>
    <w:sectPr w:rsidR="002279F7" w:rsidRPr="00607867" w:rsidSect="00DA3910">
      <w:headerReference w:type="default" r:id="rId9"/>
      <w:footerReference w:type="default" r:id="rId10"/>
      <w:pgSz w:w="11906" w:h="16838"/>
      <w:pgMar w:top="856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04" w:rsidRDefault="00590004" w:rsidP="0008172F">
      <w:pPr>
        <w:spacing w:after="0" w:line="240" w:lineRule="auto"/>
      </w:pPr>
      <w:r>
        <w:separator/>
      </w:r>
    </w:p>
  </w:endnote>
  <w:endnote w:type="continuationSeparator" w:id="0">
    <w:p w:rsidR="00590004" w:rsidRDefault="00590004" w:rsidP="0008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137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451" w:rsidRDefault="0087245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74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74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451" w:rsidRDefault="00872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04" w:rsidRDefault="00590004" w:rsidP="0008172F">
      <w:pPr>
        <w:spacing w:after="0" w:line="240" w:lineRule="auto"/>
      </w:pPr>
      <w:r>
        <w:separator/>
      </w:r>
    </w:p>
  </w:footnote>
  <w:footnote w:type="continuationSeparator" w:id="0">
    <w:p w:rsidR="00590004" w:rsidRDefault="00590004" w:rsidP="0008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1" w:rsidRDefault="00872451" w:rsidP="0008172F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E854CC0" wp14:editId="1ADE3D64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5" name="Obrázek 5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872451" w:rsidRDefault="00872451" w:rsidP="0008172F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 xml:space="preserve">odbor </w:t>
    </w:r>
    <w:r w:rsidR="003B5EC3">
      <w:rPr>
        <w:rFonts w:cs="Calibri"/>
        <w:sz w:val="24"/>
        <w:szCs w:val="28"/>
      </w:rPr>
      <w:t>IMŽP</w:t>
    </w:r>
  </w:p>
  <w:p w:rsidR="00872451" w:rsidRDefault="00872451" w:rsidP="0008172F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872451" w:rsidRDefault="00872451" w:rsidP="0008172F">
    <w:pPr>
      <w:tabs>
        <w:tab w:val="left" w:pos="3654"/>
      </w:tabs>
      <w:spacing w:line="240" w:lineRule="auto"/>
    </w:pPr>
    <w:r>
      <w:rPr>
        <w:rFonts w:ascii="Albertus Medium" w:hAnsi="Albertus Medium"/>
        <w:spacing w:val="20"/>
        <w:sz w:val="12"/>
        <w:szCs w:val="12"/>
      </w:rPr>
      <w:tab/>
    </w:r>
  </w:p>
  <w:p w:rsidR="00872451" w:rsidRDefault="00872451" w:rsidP="0008172F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872451" w:rsidRDefault="008724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6EF33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7.5.3.1."/>
      <w:lvlJc w:val="left"/>
      <w:pPr>
        <w:tabs>
          <w:tab w:val="num" w:pos="340"/>
        </w:tabs>
        <w:ind w:left="340" w:hanging="340"/>
      </w:pPr>
      <w:rPr>
        <w:rFonts w:ascii="Arial Narrow" w:hAnsi="Arial Narrow"/>
        <w:b w:val="0"/>
        <w:i w:val="0"/>
        <w:sz w:val="18"/>
      </w:rPr>
    </w:lvl>
    <w:lvl w:ilvl="4">
      <w:start w:val="1"/>
      <w:numFmt w:val="decimal"/>
      <w:lvlText w:val="%3.%5.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2.%3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2.%3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2.%3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2.%3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1BC2CFE"/>
    <w:multiLevelType w:val="hybridMultilevel"/>
    <w:tmpl w:val="CB446702"/>
    <w:lvl w:ilvl="0" w:tplc="171A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4F48"/>
    <w:multiLevelType w:val="hybridMultilevel"/>
    <w:tmpl w:val="FCB07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04A"/>
    <w:multiLevelType w:val="hybridMultilevel"/>
    <w:tmpl w:val="E4A2D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F0056"/>
    <w:multiLevelType w:val="hybridMultilevel"/>
    <w:tmpl w:val="243EA074"/>
    <w:lvl w:ilvl="0" w:tplc="08003DB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0"/>
        <w:szCs w:val="16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25348FE"/>
    <w:multiLevelType w:val="hybridMultilevel"/>
    <w:tmpl w:val="E20C8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44E4C"/>
    <w:multiLevelType w:val="hybridMultilevel"/>
    <w:tmpl w:val="00867E48"/>
    <w:lvl w:ilvl="0" w:tplc="1B563BAE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680086E"/>
    <w:multiLevelType w:val="hybridMultilevel"/>
    <w:tmpl w:val="59FA1E52"/>
    <w:lvl w:ilvl="0" w:tplc="29DEA5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75AA"/>
    <w:multiLevelType w:val="hybridMultilevel"/>
    <w:tmpl w:val="32B4A0C2"/>
    <w:lvl w:ilvl="0" w:tplc="210ADF40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6322A6A"/>
    <w:multiLevelType w:val="hybridMultilevel"/>
    <w:tmpl w:val="CC64B9B0"/>
    <w:lvl w:ilvl="0" w:tplc="72A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2675"/>
    <w:multiLevelType w:val="hybridMultilevel"/>
    <w:tmpl w:val="E234611E"/>
    <w:lvl w:ilvl="0" w:tplc="B43C19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77468"/>
    <w:multiLevelType w:val="hybridMultilevel"/>
    <w:tmpl w:val="BA445F7A"/>
    <w:lvl w:ilvl="0" w:tplc="B43C19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588B"/>
    <w:multiLevelType w:val="hybridMultilevel"/>
    <w:tmpl w:val="65A4D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23617"/>
    <w:multiLevelType w:val="hybridMultilevel"/>
    <w:tmpl w:val="8FF2A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0924"/>
    <w:multiLevelType w:val="hybridMultilevel"/>
    <w:tmpl w:val="FDDA20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2012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D2C53"/>
    <w:multiLevelType w:val="hybridMultilevel"/>
    <w:tmpl w:val="DDDE4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C731E"/>
    <w:multiLevelType w:val="hybridMultilevel"/>
    <w:tmpl w:val="145EA9DC"/>
    <w:lvl w:ilvl="0" w:tplc="E2CC4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 w15:restartNumberingAfterBreak="0">
    <w:nsid w:val="6FBD6471"/>
    <w:multiLevelType w:val="hybridMultilevel"/>
    <w:tmpl w:val="2F589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8473F"/>
    <w:multiLevelType w:val="hybridMultilevel"/>
    <w:tmpl w:val="5FCCAF34"/>
    <w:lvl w:ilvl="0" w:tplc="DAE6465A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32A2F8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FA3C8C">
      <w:start w:val="2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20"/>
  </w:num>
  <w:num w:numId="10">
    <w:abstractNumId w:val="12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  <w:num w:numId="20">
    <w:abstractNumId w:val="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2F"/>
    <w:rsid w:val="0001565F"/>
    <w:rsid w:val="00016A6E"/>
    <w:rsid w:val="00021913"/>
    <w:rsid w:val="000225EB"/>
    <w:rsid w:val="00030663"/>
    <w:rsid w:val="00030B31"/>
    <w:rsid w:val="00031CCF"/>
    <w:rsid w:val="00047E20"/>
    <w:rsid w:val="00052AA8"/>
    <w:rsid w:val="00075D27"/>
    <w:rsid w:val="00080224"/>
    <w:rsid w:val="0008172F"/>
    <w:rsid w:val="00082967"/>
    <w:rsid w:val="0008371F"/>
    <w:rsid w:val="000942E7"/>
    <w:rsid w:val="000A53C3"/>
    <w:rsid w:val="000D0ECA"/>
    <w:rsid w:val="000D228E"/>
    <w:rsid w:val="000D2A21"/>
    <w:rsid w:val="000E0E1F"/>
    <w:rsid w:val="000E38E9"/>
    <w:rsid w:val="000E7FD1"/>
    <w:rsid w:val="000F10D6"/>
    <w:rsid w:val="000F2D08"/>
    <w:rsid w:val="000F7C6A"/>
    <w:rsid w:val="001046E0"/>
    <w:rsid w:val="00117CE7"/>
    <w:rsid w:val="00123B09"/>
    <w:rsid w:val="0013326E"/>
    <w:rsid w:val="00140AFB"/>
    <w:rsid w:val="0016097A"/>
    <w:rsid w:val="0016393F"/>
    <w:rsid w:val="00175560"/>
    <w:rsid w:val="00175AE1"/>
    <w:rsid w:val="00184F7F"/>
    <w:rsid w:val="00193A19"/>
    <w:rsid w:val="00197083"/>
    <w:rsid w:val="001A02D2"/>
    <w:rsid w:val="001A2531"/>
    <w:rsid w:val="001B4C43"/>
    <w:rsid w:val="001B5666"/>
    <w:rsid w:val="001C2EE2"/>
    <w:rsid w:val="001D42BC"/>
    <w:rsid w:val="001D527B"/>
    <w:rsid w:val="001E2EB2"/>
    <w:rsid w:val="001E4C69"/>
    <w:rsid w:val="001E5BD0"/>
    <w:rsid w:val="001E7749"/>
    <w:rsid w:val="001F0B46"/>
    <w:rsid w:val="00204625"/>
    <w:rsid w:val="00206737"/>
    <w:rsid w:val="00211588"/>
    <w:rsid w:val="002221FB"/>
    <w:rsid w:val="0022540B"/>
    <w:rsid w:val="002279F7"/>
    <w:rsid w:val="00230B68"/>
    <w:rsid w:val="00251AF7"/>
    <w:rsid w:val="00255B6F"/>
    <w:rsid w:val="00263354"/>
    <w:rsid w:val="0026592C"/>
    <w:rsid w:val="00265C19"/>
    <w:rsid w:val="00290A5C"/>
    <w:rsid w:val="00293173"/>
    <w:rsid w:val="002B3339"/>
    <w:rsid w:val="002B6511"/>
    <w:rsid w:val="002C02B4"/>
    <w:rsid w:val="002D24F4"/>
    <w:rsid w:val="002F35E5"/>
    <w:rsid w:val="002F691A"/>
    <w:rsid w:val="00304824"/>
    <w:rsid w:val="00306EFD"/>
    <w:rsid w:val="00310B0D"/>
    <w:rsid w:val="003419CD"/>
    <w:rsid w:val="0035295F"/>
    <w:rsid w:val="00357119"/>
    <w:rsid w:val="00364560"/>
    <w:rsid w:val="00371FF8"/>
    <w:rsid w:val="00382BD6"/>
    <w:rsid w:val="00385756"/>
    <w:rsid w:val="003A1CD4"/>
    <w:rsid w:val="003B5EC3"/>
    <w:rsid w:val="003C368C"/>
    <w:rsid w:val="003E090D"/>
    <w:rsid w:val="003E54BA"/>
    <w:rsid w:val="003E632C"/>
    <w:rsid w:val="003F46B8"/>
    <w:rsid w:val="003F6127"/>
    <w:rsid w:val="004149D8"/>
    <w:rsid w:val="0042512B"/>
    <w:rsid w:val="004418D9"/>
    <w:rsid w:val="00442150"/>
    <w:rsid w:val="00454E16"/>
    <w:rsid w:val="0045559A"/>
    <w:rsid w:val="00493DEC"/>
    <w:rsid w:val="004966C9"/>
    <w:rsid w:val="00497690"/>
    <w:rsid w:val="00497753"/>
    <w:rsid w:val="004B6325"/>
    <w:rsid w:val="004C269A"/>
    <w:rsid w:val="004C488A"/>
    <w:rsid w:val="004D07A0"/>
    <w:rsid w:val="004D7A88"/>
    <w:rsid w:val="004E41CF"/>
    <w:rsid w:val="004E4F27"/>
    <w:rsid w:val="004F6A77"/>
    <w:rsid w:val="005100FD"/>
    <w:rsid w:val="00520DF1"/>
    <w:rsid w:val="005271B5"/>
    <w:rsid w:val="00543E64"/>
    <w:rsid w:val="00544990"/>
    <w:rsid w:val="00545120"/>
    <w:rsid w:val="005503C6"/>
    <w:rsid w:val="00565052"/>
    <w:rsid w:val="00574C40"/>
    <w:rsid w:val="00590004"/>
    <w:rsid w:val="0059109C"/>
    <w:rsid w:val="00593C82"/>
    <w:rsid w:val="005A0967"/>
    <w:rsid w:val="005B666C"/>
    <w:rsid w:val="005B7520"/>
    <w:rsid w:val="005C21DE"/>
    <w:rsid w:val="00606070"/>
    <w:rsid w:val="00630387"/>
    <w:rsid w:val="00630393"/>
    <w:rsid w:val="006440F8"/>
    <w:rsid w:val="00655ABB"/>
    <w:rsid w:val="0066025E"/>
    <w:rsid w:val="00662975"/>
    <w:rsid w:val="00675AF2"/>
    <w:rsid w:val="006A07B6"/>
    <w:rsid w:val="006B2BAD"/>
    <w:rsid w:val="006B6B31"/>
    <w:rsid w:val="006C0156"/>
    <w:rsid w:val="006D0EE6"/>
    <w:rsid w:val="006E16CF"/>
    <w:rsid w:val="006E452B"/>
    <w:rsid w:val="006E56F3"/>
    <w:rsid w:val="006F06FC"/>
    <w:rsid w:val="006F0B47"/>
    <w:rsid w:val="006F1B07"/>
    <w:rsid w:val="006F5D7D"/>
    <w:rsid w:val="006F775C"/>
    <w:rsid w:val="00712F20"/>
    <w:rsid w:val="0071517C"/>
    <w:rsid w:val="00720C20"/>
    <w:rsid w:val="00730873"/>
    <w:rsid w:val="00732EC9"/>
    <w:rsid w:val="00742DA6"/>
    <w:rsid w:val="00744B50"/>
    <w:rsid w:val="0074530B"/>
    <w:rsid w:val="00747ADD"/>
    <w:rsid w:val="00755CB7"/>
    <w:rsid w:val="007709E4"/>
    <w:rsid w:val="00770B9C"/>
    <w:rsid w:val="007A74DB"/>
    <w:rsid w:val="007B1ABE"/>
    <w:rsid w:val="007B46F1"/>
    <w:rsid w:val="007D7334"/>
    <w:rsid w:val="00807AD7"/>
    <w:rsid w:val="00851C80"/>
    <w:rsid w:val="00861BCB"/>
    <w:rsid w:val="00872451"/>
    <w:rsid w:val="00872F28"/>
    <w:rsid w:val="00873D82"/>
    <w:rsid w:val="008850B6"/>
    <w:rsid w:val="00885AA1"/>
    <w:rsid w:val="00893F24"/>
    <w:rsid w:val="008A0559"/>
    <w:rsid w:val="008A1D4A"/>
    <w:rsid w:val="008C0AF6"/>
    <w:rsid w:val="008C0FDC"/>
    <w:rsid w:val="008C514C"/>
    <w:rsid w:val="008C5896"/>
    <w:rsid w:val="008D2B09"/>
    <w:rsid w:val="008E5B22"/>
    <w:rsid w:val="008F159E"/>
    <w:rsid w:val="008F3B10"/>
    <w:rsid w:val="008F4B6E"/>
    <w:rsid w:val="00912ED3"/>
    <w:rsid w:val="00932C01"/>
    <w:rsid w:val="0097039E"/>
    <w:rsid w:val="00972376"/>
    <w:rsid w:val="00986F4F"/>
    <w:rsid w:val="009934C8"/>
    <w:rsid w:val="009A516B"/>
    <w:rsid w:val="009B220E"/>
    <w:rsid w:val="009B228F"/>
    <w:rsid w:val="009B3428"/>
    <w:rsid w:val="009C3597"/>
    <w:rsid w:val="009C36B1"/>
    <w:rsid w:val="009C3A3D"/>
    <w:rsid w:val="009C5522"/>
    <w:rsid w:val="009E1F25"/>
    <w:rsid w:val="009E764F"/>
    <w:rsid w:val="00A25DB8"/>
    <w:rsid w:val="00A26216"/>
    <w:rsid w:val="00A2673B"/>
    <w:rsid w:val="00A30232"/>
    <w:rsid w:val="00A33AE0"/>
    <w:rsid w:val="00A60BE6"/>
    <w:rsid w:val="00A636AC"/>
    <w:rsid w:val="00A63AF6"/>
    <w:rsid w:val="00A70E46"/>
    <w:rsid w:val="00A76F74"/>
    <w:rsid w:val="00A84125"/>
    <w:rsid w:val="00A92654"/>
    <w:rsid w:val="00AA11F3"/>
    <w:rsid w:val="00AB3377"/>
    <w:rsid w:val="00AC3043"/>
    <w:rsid w:val="00AC4DA8"/>
    <w:rsid w:val="00AD3DD4"/>
    <w:rsid w:val="00AD65EC"/>
    <w:rsid w:val="00AF1FC9"/>
    <w:rsid w:val="00AF527F"/>
    <w:rsid w:val="00B203B8"/>
    <w:rsid w:val="00B25D1D"/>
    <w:rsid w:val="00B26C5D"/>
    <w:rsid w:val="00B27956"/>
    <w:rsid w:val="00B325A8"/>
    <w:rsid w:val="00B453B8"/>
    <w:rsid w:val="00B529C3"/>
    <w:rsid w:val="00B5311D"/>
    <w:rsid w:val="00B62CAD"/>
    <w:rsid w:val="00B67015"/>
    <w:rsid w:val="00B72BC7"/>
    <w:rsid w:val="00B82317"/>
    <w:rsid w:val="00BA1201"/>
    <w:rsid w:val="00BB05B0"/>
    <w:rsid w:val="00BB1417"/>
    <w:rsid w:val="00BB4CA0"/>
    <w:rsid w:val="00BC4739"/>
    <w:rsid w:val="00BC6D4D"/>
    <w:rsid w:val="00BD45BF"/>
    <w:rsid w:val="00BE1E2A"/>
    <w:rsid w:val="00BE2B26"/>
    <w:rsid w:val="00BE3769"/>
    <w:rsid w:val="00BE5071"/>
    <w:rsid w:val="00BF07F8"/>
    <w:rsid w:val="00C07F72"/>
    <w:rsid w:val="00C2434C"/>
    <w:rsid w:val="00C4348B"/>
    <w:rsid w:val="00C54592"/>
    <w:rsid w:val="00C876EE"/>
    <w:rsid w:val="00CA3877"/>
    <w:rsid w:val="00CD2333"/>
    <w:rsid w:val="00CE2D9B"/>
    <w:rsid w:val="00CE6B6C"/>
    <w:rsid w:val="00D017F4"/>
    <w:rsid w:val="00D06E9B"/>
    <w:rsid w:val="00D11D37"/>
    <w:rsid w:val="00D302B2"/>
    <w:rsid w:val="00D302C1"/>
    <w:rsid w:val="00D32D86"/>
    <w:rsid w:val="00D374BD"/>
    <w:rsid w:val="00D43C2B"/>
    <w:rsid w:val="00D43D1B"/>
    <w:rsid w:val="00D501DD"/>
    <w:rsid w:val="00D52E83"/>
    <w:rsid w:val="00D65579"/>
    <w:rsid w:val="00D72319"/>
    <w:rsid w:val="00D730CF"/>
    <w:rsid w:val="00D74CD8"/>
    <w:rsid w:val="00D7587B"/>
    <w:rsid w:val="00D80B00"/>
    <w:rsid w:val="00D861D2"/>
    <w:rsid w:val="00D8709E"/>
    <w:rsid w:val="00D95C8D"/>
    <w:rsid w:val="00D97484"/>
    <w:rsid w:val="00DA3910"/>
    <w:rsid w:val="00DA47E4"/>
    <w:rsid w:val="00DA4AE7"/>
    <w:rsid w:val="00DC2296"/>
    <w:rsid w:val="00DD4DD1"/>
    <w:rsid w:val="00DD7B41"/>
    <w:rsid w:val="00E00128"/>
    <w:rsid w:val="00E05D80"/>
    <w:rsid w:val="00E15E44"/>
    <w:rsid w:val="00E17B09"/>
    <w:rsid w:val="00E31DB3"/>
    <w:rsid w:val="00E32432"/>
    <w:rsid w:val="00E3310D"/>
    <w:rsid w:val="00E411BC"/>
    <w:rsid w:val="00E5296B"/>
    <w:rsid w:val="00E64794"/>
    <w:rsid w:val="00E70BC2"/>
    <w:rsid w:val="00E83499"/>
    <w:rsid w:val="00E914F3"/>
    <w:rsid w:val="00EA3127"/>
    <w:rsid w:val="00ED0622"/>
    <w:rsid w:val="00ED39F2"/>
    <w:rsid w:val="00EE0B45"/>
    <w:rsid w:val="00EE0B66"/>
    <w:rsid w:val="00EE745C"/>
    <w:rsid w:val="00EF6546"/>
    <w:rsid w:val="00EF6B25"/>
    <w:rsid w:val="00F01731"/>
    <w:rsid w:val="00F041C5"/>
    <w:rsid w:val="00F05F54"/>
    <w:rsid w:val="00F15FC2"/>
    <w:rsid w:val="00F16BF7"/>
    <w:rsid w:val="00F33B23"/>
    <w:rsid w:val="00F445F6"/>
    <w:rsid w:val="00F55ECF"/>
    <w:rsid w:val="00F614B8"/>
    <w:rsid w:val="00F733F6"/>
    <w:rsid w:val="00F754E9"/>
    <w:rsid w:val="00F81020"/>
    <w:rsid w:val="00F87244"/>
    <w:rsid w:val="00F87740"/>
    <w:rsid w:val="00FA18B5"/>
    <w:rsid w:val="00FA6910"/>
    <w:rsid w:val="00FC07FD"/>
    <w:rsid w:val="00FC1FA8"/>
    <w:rsid w:val="00FC5F05"/>
    <w:rsid w:val="00FD3732"/>
    <w:rsid w:val="00FD3832"/>
    <w:rsid w:val="00FE31B4"/>
    <w:rsid w:val="00FE3D6C"/>
    <w:rsid w:val="00FE5D48"/>
    <w:rsid w:val="00FF02A9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BECF"/>
  <w15:docId w15:val="{80E832CB-B53D-4A1C-BC77-D367059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72F"/>
  </w:style>
  <w:style w:type="paragraph" w:styleId="Nadpis1">
    <w:name w:val="heading 1"/>
    <w:basedOn w:val="Normln"/>
    <w:next w:val="Normln"/>
    <w:link w:val="Nadpis1Char"/>
    <w:uiPriority w:val="9"/>
    <w:qFormat/>
    <w:rsid w:val="0008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81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172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72F"/>
  </w:style>
  <w:style w:type="paragraph" w:styleId="Zpat">
    <w:name w:val="footer"/>
    <w:basedOn w:val="Normln"/>
    <w:link w:val="ZpatChar"/>
    <w:uiPriority w:val="99"/>
    <w:unhideWhenUsed/>
    <w:rsid w:val="0008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72F"/>
  </w:style>
  <w:style w:type="character" w:customStyle="1" w:styleId="Nadpis1Char">
    <w:name w:val="Nadpis 1 Char"/>
    <w:basedOn w:val="Standardnpsmoodstavce"/>
    <w:link w:val="Nadpis1"/>
    <w:uiPriority w:val="9"/>
    <w:rsid w:val="0008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172F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3A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0622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227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79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dstavce">
    <w:name w:val="Text odstavce"/>
    <w:basedOn w:val="Normln"/>
    <w:rsid w:val="002279F7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279F7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279F7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2279F7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zh-CN"/>
    </w:rPr>
  </w:style>
  <w:style w:type="paragraph" w:styleId="Obsah2">
    <w:name w:val="toc 2"/>
    <w:basedOn w:val="Normln"/>
    <w:next w:val="Normln"/>
    <w:autoRedefine/>
    <w:uiPriority w:val="39"/>
    <w:unhideWhenUsed/>
    <w:rsid w:val="00CD2333"/>
    <w:pPr>
      <w:spacing w:after="100"/>
      <w:ind w:left="220"/>
    </w:pPr>
  </w:style>
  <w:style w:type="paragraph" w:customStyle="1" w:styleId="Default">
    <w:name w:val="Default"/>
    <w:rsid w:val="00A9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rsid w:val="00D11D37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732EC9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B4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CA0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n@policen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09A9-A850-4053-8A53-92B290DC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2425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Škop Jiří Mgr.</cp:lastModifiedBy>
  <cp:revision>4</cp:revision>
  <cp:lastPrinted>2021-08-12T08:16:00Z</cp:lastPrinted>
  <dcterms:created xsi:type="dcterms:W3CDTF">2022-07-11T13:09:00Z</dcterms:created>
  <dcterms:modified xsi:type="dcterms:W3CDTF">2022-07-18T10:04:00Z</dcterms:modified>
</cp:coreProperties>
</file>